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652B" w14:textId="23C0EDF7" w:rsidR="0037742A" w:rsidRPr="0046098E" w:rsidRDefault="00D4419B" w:rsidP="00627C9F">
      <w:pPr>
        <w:jc w:val="both"/>
        <w:rPr>
          <w:rFonts w:ascii="Cambria" w:hAnsi="Cambria" w:cs="Univers"/>
          <w:b/>
          <w:bCs/>
        </w:rPr>
      </w:pPr>
      <w:r w:rsidRPr="0046098E">
        <w:rPr>
          <w:rFonts w:ascii="Cambria" w:hAnsi="Cambria"/>
          <w:noProof/>
        </w:rPr>
        <mc:AlternateContent>
          <mc:Choice Requires="wps">
            <w:drawing>
              <wp:anchor distT="0" distB="0" distL="114300" distR="114300" simplePos="0" relativeHeight="251654144" behindDoc="0" locked="0" layoutInCell="1" allowOverlap="1" wp14:anchorId="42E0A600" wp14:editId="4CC6EC4A">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73BF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BDC87A"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" fillcolor="#73bf43" stroked="f" strokeweight="2pt"/>
            </w:pict>
          </mc:Fallback>
        </mc:AlternateContent>
      </w:r>
      <w:r w:rsidRPr="0046098E">
        <w:rPr>
          <w:rFonts w:ascii="Cambria" w:hAnsi="Cambria"/>
          <w:noProof/>
        </w:rPr>
        <mc:AlternateContent>
          <mc:Choice Requires="wps">
            <w:drawing>
              <wp:anchor distT="0" distB="0" distL="114300" distR="114300" simplePos="0" relativeHeight="251658240" behindDoc="0" locked="0" layoutInCell="1" allowOverlap="1" wp14:anchorId="0BDC0D5A" wp14:editId="35621C6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E61F" w14:textId="4646121D" w:rsidR="00DF4939" w:rsidRDefault="007F1237" w:rsidP="00AE5488">
                            <w:r>
                              <w:rPr>
                                <w:noProof/>
                              </w:rPr>
                              <w:drawing>
                                <wp:inline distT="0" distB="0" distL="0" distR="0" wp14:anchorId="0931C1C6" wp14:editId="208EE3BF">
                                  <wp:extent cx="3409315" cy="804545"/>
                                  <wp:effectExtent l="0" t="0" r="635"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3409315" cy="804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DC0D5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1180E61F" w14:textId="4646121D" w:rsidR="00DF4939" w:rsidRDefault="007F1237" w:rsidP="00AE5488">
                      <w:r>
                        <w:rPr>
                          <w:noProof/>
                        </w:rPr>
                        <w:drawing>
                          <wp:inline distT="0" distB="0" distL="0" distR="0" wp14:anchorId="0931C1C6" wp14:editId="208EE3BF">
                            <wp:extent cx="3409315" cy="804545"/>
                            <wp:effectExtent l="0" t="0" r="635"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3409315" cy="804545"/>
                                    </a:xfrm>
                                    <a:prstGeom prst="rect">
                                      <a:avLst/>
                                    </a:prstGeom>
                                  </pic:spPr>
                                </pic:pic>
                              </a:graphicData>
                            </a:graphic>
                          </wp:inline>
                        </w:drawing>
                      </w:r>
                    </w:p>
                  </w:txbxContent>
                </v:textbox>
              </v:shape>
            </w:pict>
          </mc:Fallback>
        </mc:AlternateContent>
      </w:r>
      <w:r w:rsidRPr="0046098E">
        <w:rPr>
          <w:rFonts w:ascii="Cambria" w:hAnsi="Cambria"/>
          <w:b/>
        </w:rPr>
        <w:t>–</w:t>
      </w:r>
    </w:p>
    <w:p w14:paraId="09C6F81E" w14:textId="4A213112" w:rsidR="0037742A" w:rsidRPr="0046098E" w:rsidRDefault="0037742A" w:rsidP="00040C3A">
      <w:pPr>
        <w:tabs>
          <w:tab w:val="center" w:pos="5400"/>
        </w:tabs>
        <w:suppressAutoHyphens/>
        <w:jc w:val="both"/>
        <w:rPr>
          <w:rFonts w:ascii="Cambria" w:hAnsi="Cambria"/>
          <w:lang w:val="es-ES"/>
        </w:rPr>
      </w:pPr>
    </w:p>
    <w:p w14:paraId="3129540B" w14:textId="77777777" w:rsidR="0037742A" w:rsidRPr="0046098E" w:rsidRDefault="0037742A" w:rsidP="00040C3A">
      <w:pPr>
        <w:tabs>
          <w:tab w:val="center" w:pos="5400"/>
        </w:tabs>
        <w:suppressAutoHyphens/>
        <w:jc w:val="both"/>
        <w:rPr>
          <w:rFonts w:ascii="Cambria" w:hAnsi="Cambria"/>
          <w:lang w:val="es-ES"/>
        </w:rPr>
      </w:pPr>
    </w:p>
    <w:p w14:paraId="1989E5DE" w14:textId="588278D0" w:rsidR="0037742A" w:rsidRPr="0046098E" w:rsidRDefault="0037742A" w:rsidP="00040C3A">
      <w:pPr>
        <w:tabs>
          <w:tab w:val="center" w:pos="5400"/>
        </w:tabs>
        <w:suppressAutoHyphens/>
        <w:rPr>
          <w:rFonts w:ascii="Cambria" w:hAnsi="Cambria"/>
          <w:lang w:val="es-ES_tradnl"/>
        </w:rPr>
      </w:pPr>
    </w:p>
    <w:p w14:paraId="5A442E25" w14:textId="04BCDCAC" w:rsidR="0037742A" w:rsidRPr="0046098E" w:rsidRDefault="0037742A" w:rsidP="00040C3A">
      <w:pPr>
        <w:tabs>
          <w:tab w:val="center" w:pos="5400"/>
        </w:tabs>
        <w:suppressAutoHyphens/>
        <w:rPr>
          <w:rFonts w:ascii="Cambria" w:hAnsi="Cambria"/>
          <w:lang w:val="es-ES_tradnl"/>
        </w:rPr>
      </w:pPr>
    </w:p>
    <w:p w14:paraId="33032DAD" w14:textId="77777777" w:rsidR="0037742A" w:rsidRPr="0046098E" w:rsidRDefault="0037742A" w:rsidP="005128E4">
      <w:pPr>
        <w:tabs>
          <w:tab w:val="center" w:pos="5400"/>
        </w:tabs>
        <w:suppressAutoHyphens/>
        <w:jc w:val="center"/>
        <w:rPr>
          <w:rFonts w:ascii="Cambria" w:hAnsi="Cambria"/>
          <w:lang w:val="es-ES_tradnl"/>
        </w:rPr>
      </w:pPr>
    </w:p>
    <w:p w14:paraId="1BFC06D0" w14:textId="742E3A60" w:rsidR="0037742A" w:rsidRPr="0046098E" w:rsidRDefault="0037742A" w:rsidP="005128E4">
      <w:pPr>
        <w:tabs>
          <w:tab w:val="center" w:pos="5400"/>
        </w:tabs>
        <w:suppressAutoHyphens/>
        <w:jc w:val="center"/>
        <w:rPr>
          <w:rFonts w:ascii="Cambria" w:hAnsi="Cambria"/>
          <w:lang w:val="es-ES_tradnl"/>
        </w:rPr>
      </w:pPr>
    </w:p>
    <w:p w14:paraId="2E9E1F8C" w14:textId="5008E24F" w:rsidR="0037742A" w:rsidRPr="0046098E" w:rsidRDefault="0037742A" w:rsidP="005128E4">
      <w:pPr>
        <w:tabs>
          <w:tab w:val="center" w:pos="5400"/>
        </w:tabs>
        <w:suppressAutoHyphens/>
        <w:jc w:val="center"/>
        <w:rPr>
          <w:rFonts w:ascii="Cambria" w:hAnsi="Cambria"/>
          <w:lang w:val="es-ES_tradnl"/>
        </w:rPr>
      </w:pPr>
    </w:p>
    <w:p w14:paraId="032D0A5D" w14:textId="6DC5B39D" w:rsidR="0037742A" w:rsidRPr="0046098E" w:rsidRDefault="0037742A" w:rsidP="005128E4">
      <w:pPr>
        <w:tabs>
          <w:tab w:val="center" w:pos="5400"/>
        </w:tabs>
        <w:suppressAutoHyphens/>
        <w:jc w:val="center"/>
        <w:rPr>
          <w:rFonts w:ascii="Cambria" w:hAnsi="Cambria"/>
          <w:lang w:val="es-ES_tradnl"/>
        </w:rPr>
      </w:pPr>
    </w:p>
    <w:p w14:paraId="71F356B7" w14:textId="70D1F5EB" w:rsidR="0037742A" w:rsidRPr="0046098E" w:rsidRDefault="0037742A" w:rsidP="005128E4">
      <w:pPr>
        <w:tabs>
          <w:tab w:val="center" w:pos="5400"/>
        </w:tabs>
        <w:suppressAutoHyphens/>
        <w:jc w:val="center"/>
        <w:rPr>
          <w:rFonts w:ascii="Cambria" w:hAnsi="Cambria"/>
          <w:lang w:val="es-ES_tradnl"/>
        </w:rPr>
      </w:pPr>
    </w:p>
    <w:p w14:paraId="1F52AEE2" w14:textId="77777777" w:rsidR="0037742A" w:rsidRPr="0046098E" w:rsidRDefault="0037742A" w:rsidP="00040C3A">
      <w:pPr>
        <w:tabs>
          <w:tab w:val="center" w:pos="5400"/>
        </w:tabs>
        <w:suppressAutoHyphens/>
        <w:jc w:val="center"/>
        <w:rPr>
          <w:rFonts w:ascii="Cambria" w:hAnsi="Cambria"/>
          <w:lang w:val="es-ES_tradnl"/>
        </w:rPr>
      </w:pPr>
    </w:p>
    <w:p w14:paraId="72915B7B" w14:textId="4477CF21" w:rsidR="0037742A" w:rsidRPr="0046098E" w:rsidRDefault="00D4419B" w:rsidP="00040C3A">
      <w:pPr>
        <w:tabs>
          <w:tab w:val="center" w:pos="5400"/>
        </w:tabs>
        <w:suppressAutoHyphens/>
        <w:jc w:val="center"/>
        <w:rPr>
          <w:rFonts w:ascii="Cambria" w:hAnsi="Cambria"/>
        </w:rPr>
      </w:pPr>
      <w:r w:rsidRPr="0046098E">
        <w:rPr>
          <w:rFonts w:ascii="Cambria" w:hAnsi="Cambria"/>
          <w:noProof/>
        </w:rPr>
        <mc:AlternateContent>
          <mc:Choice Requires="wps">
            <w:drawing>
              <wp:anchor distT="0" distB="0" distL="114300" distR="114300" simplePos="0" relativeHeight="251655168" behindDoc="0" locked="0" layoutInCell="1" allowOverlap="1" wp14:anchorId="51607446" wp14:editId="3D6488C6">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EB264" w14:textId="2E6E4036" w:rsidR="00DF4939" w:rsidRPr="00717CAE" w:rsidRDefault="00DF4939" w:rsidP="007F1237">
                            <w:pPr>
                              <w:spacing w:after="0" w:line="276" w:lineRule="auto"/>
                              <w:rPr>
                                <w:rFonts w:ascii="Cambria" w:hAnsi="Cambria" w:cs="Arial"/>
                                <w:b/>
                                <w:bCs/>
                                <w:color w:val="0D0D0D"/>
                                <w:sz w:val="36"/>
                                <w:lang w:val="pt-BR"/>
                              </w:rPr>
                            </w:pPr>
                            <w:r w:rsidRPr="00717CAE">
                              <w:rPr>
                                <w:rFonts w:ascii="Cambria" w:hAnsi="Cambria"/>
                                <w:b/>
                                <w:color w:val="0D0D0D"/>
                                <w:sz w:val="36"/>
                                <w:lang w:val="pt-BR"/>
                              </w:rPr>
                              <w:t xml:space="preserve">REPORT No. </w:t>
                            </w:r>
                            <w:r w:rsidR="007C0EC3" w:rsidRPr="00717CAE">
                              <w:rPr>
                                <w:rFonts w:ascii="Cambria" w:hAnsi="Cambria"/>
                                <w:b/>
                                <w:color w:val="0D0D0D"/>
                                <w:sz w:val="36"/>
                                <w:lang w:val="pt-BR"/>
                              </w:rPr>
                              <w:t>107</w:t>
                            </w:r>
                            <w:r w:rsidRPr="00717CAE">
                              <w:rPr>
                                <w:rFonts w:ascii="Cambria" w:hAnsi="Cambria"/>
                                <w:b/>
                                <w:color w:val="0D0D0D"/>
                                <w:sz w:val="36"/>
                                <w:lang w:val="pt-BR"/>
                              </w:rPr>
                              <w:t>/22</w:t>
                            </w:r>
                          </w:p>
                          <w:p w14:paraId="4E1E6B43" w14:textId="50B70283" w:rsidR="00DF4939" w:rsidRPr="00717CAE" w:rsidRDefault="00DF4939" w:rsidP="007F1237">
                            <w:pPr>
                              <w:spacing w:after="0" w:line="276" w:lineRule="auto"/>
                              <w:rPr>
                                <w:rFonts w:ascii="Cambria" w:hAnsi="Cambria" w:cs="Arial"/>
                                <w:b/>
                                <w:color w:val="0D0D0D"/>
                                <w:sz w:val="36"/>
                                <w:lang w:val="pt-BR"/>
                              </w:rPr>
                            </w:pPr>
                            <w:r w:rsidRPr="00717CAE">
                              <w:rPr>
                                <w:rFonts w:ascii="Cambria" w:hAnsi="Cambria"/>
                                <w:b/>
                                <w:color w:val="0D0D0D"/>
                                <w:sz w:val="36"/>
                                <w:lang w:val="pt-BR"/>
                              </w:rPr>
                              <w:t>PETITION 375-14</w:t>
                            </w:r>
                          </w:p>
                          <w:p w14:paraId="0005C761" w14:textId="415A6609" w:rsidR="00DF4939" w:rsidRPr="00717CAE" w:rsidRDefault="00DF4939" w:rsidP="007F1237">
                            <w:pPr>
                              <w:spacing w:after="0" w:line="276" w:lineRule="auto"/>
                              <w:rPr>
                                <w:rFonts w:ascii="Cambria" w:hAnsi="Cambria" w:cs="Arial"/>
                                <w:color w:val="0D0D0D"/>
                                <w:lang w:val="pt-BR"/>
                              </w:rPr>
                            </w:pPr>
                            <w:r w:rsidRPr="00717CAE">
                              <w:rPr>
                                <w:rFonts w:ascii="Cambria" w:hAnsi="Cambria"/>
                                <w:color w:val="0D0D0D"/>
                                <w:lang w:val="pt-BR"/>
                              </w:rPr>
                              <w:t>INADMISSIBILITY REPORT</w:t>
                            </w:r>
                          </w:p>
                          <w:p w14:paraId="014CFE3D" w14:textId="77777777" w:rsidR="007F1237" w:rsidRPr="00717CAE" w:rsidRDefault="007F1237" w:rsidP="007F1237">
                            <w:pPr>
                              <w:spacing w:after="0" w:line="276" w:lineRule="auto"/>
                              <w:rPr>
                                <w:rFonts w:ascii="Cambria" w:hAnsi="Cambria"/>
                                <w:lang w:val="pt-BR"/>
                              </w:rPr>
                            </w:pPr>
                          </w:p>
                          <w:p w14:paraId="402CEBDF" w14:textId="14399D1C" w:rsidR="00DF4939" w:rsidRPr="00717CAE" w:rsidRDefault="00DF4939" w:rsidP="007F1237">
                            <w:pPr>
                              <w:spacing w:after="0" w:line="276" w:lineRule="auto"/>
                              <w:rPr>
                                <w:rFonts w:ascii="Cambria" w:hAnsi="Cambria" w:cs="Arial"/>
                                <w:color w:val="0D0D0D"/>
                                <w:lang w:val="pt-BR"/>
                              </w:rPr>
                            </w:pPr>
                            <w:r w:rsidRPr="00717CAE">
                              <w:rPr>
                                <w:rFonts w:ascii="Cambria" w:hAnsi="Cambria"/>
                                <w:lang w:val="pt-BR"/>
                              </w:rPr>
                              <w:t>MANUEL ENRIQUE LEIVA OLIVA</w:t>
                            </w:r>
                          </w:p>
                          <w:p w14:paraId="166194B8" w14:textId="701430D2" w:rsidR="00DF4939" w:rsidRPr="007F1237" w:rsidRDefault="00DF4939" w:rsidP="007F1237">
                            <w:pPr>
                              <w:spacing w:after="0" w:line="276" w:lineRule="auto"/>
                              <w:rPr>
                                <w:rFonts w:ascii="Cambria" w:hAnsi="Cambria" w:cs="Arial"/>
                                <w:color w:val="0D0D0D"/>
                                <w:lang w:val="es-US"/>
                              </w:rPr>
                            </w:pPr>
                            <w:r w:rsidRPr="007F1237">
                              <w:rPr>
                                <w:rFonts w:ascii="Cambria" w:hAnsi="Cambria"/>
                                <w:color w:val="0D0D0D"/>
                                <w:lang w:val="es-US"/>
                              </w:rPr>
                              <w:t>HONDURAS</w:t>
                            </w:r>
                          </w:p>
                          <w:p w14:paraId="38930DFE" w14:textId="77777777" w:rsidR="00DF4939" w:rsidRPr="00365E52" w:rsidRDefault="00DF4939"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607446"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084EB264" w14:textId="2E6E4036" w:rsidR="00DF4939" w:rsidRPr="00717CAE" w:rsidRDefault="00DF4939" w:rsidP="007F1237">
                      <w:pPr>
                        <w:spacing w:after="0" w:line="276" w:lineRule="auto"/>
                        <w:rPr>
                          <w:rFonts w:ascii="Cambria" w:hAnsi="Cambria" w:cs="Arial"/>
                          <w:b/>
                          <w:bCs/>
                          <w:color w:val="0D0D0D"/>
                          <w:sz w:val="36"/>
                          <w:lang w:val="pt-BR"/>
                        </w:rPr>
                      </w:pPr>
                      <w:r w:rsidRPr="00717CAE">
                        <w:rPr>
                          <w:rFonts w:ascii="Cambria" w:hAnsi="Cambria"/>
                          <w:b/>
                          <w:color w:val="0D0D0D"/>
                          <w:sz w:val="36"/>
                          <w:lang w:val="pt-BR"/>
                        </w:rPr>
                        <w:t xml:space="preserve">REPORT No. </w:t>
                      </w:r>
                      <w:r w:rsidR="007C0EC3" w:rsidRPr="00717CAE">
                        <w:rPr>
                          <w:rFonts w:ascii="Cambria" w:hAnsi="Cambria"/>
                          <w:b/>
                          <w:color w:val="0D0D0D"/>
                          <w:sz w:val="36"/>
                          <w:lang w:val="pt-BR"/>
                        </w:rPr>
                        <w:t>107</w:t>
                      </w:r>
                      <w:r w:rsidRPr="00717CAE">
                        <w:rPr>
                          <w:rFonts w:ascii="Cambria" w:hAnsi="Cambria"/>
                          <w:b/>
                          <w:color w:val="0D0D0D"/>
                          <w:sz w:val="36"/>
                          <w:lang w:val="pt-BR"/>
                        </w:rPr>
                        <w:t>/22</w:t>
                      </w:r>
                    </w:p>
                    <w:p w14:paraId="4E1E6B43" w14:textId="50B70283" w:rsidR="00DF4939" w:rsidRPr="00717CAE" w:rsidRDefault="00DF4939" w:rsidP="007F1237">
                      <w:pPr>
                        <w:spacing w:after="0" w:line="276" w:lineRule="auto"/>
                        <w:rPr>
                          <w:rFonts w:ascii="Cambria" w:hAnsi="Cambria" w:cs="Arial"/>
                          <w:b/>
                          <w:color w:val="0D0D0D"/>
                          <w:sz w:val="36"/>
                          <w:lang w:val="pt-BR"/>
                        </w:rPr>
                      </w:pPr>
                      <w:r w:rsidRPr="00717CAE">
                        <w:rPr>
                          <w:rFonts w:ascii="Cambria" w:hAnsi="Cambria"/>
                          <w:b/>
                          <w:color w:val="0D0D0D"/>
                          <w:sz w:val="36"/>
                          <w:lang w:val="pt-BR"/>
                        </w:rPr>
                        <w:t>PETITION 375-14</w:t>
                      </w:r>
                    </w:p>
                    <w:p w14:paraId="0005C761" w14:textId="415A6609" w:rsidR="00DF4939" w:rsidRPr="00717CAE" w:rsidRDefault="00DF4939" w:rsidP="007F1237">
                      <w:pPr>
                        <w:spacing w:after="0" w:line="276" w:lineRule="auto"/>
                        <w:rPr>
                          <w:rFonts w:ascii="Cambria" w:hAnsi="Cambria" w:cs="Arial"/>
                          <w:color w:val="0D0D0D"/>
                          <w:lang w:val="pt-BR"/>
                        </w:rPr>
                      </w:pPr>
                      <w:r w:rsidRPr="00717CAE">
                        <w:rPr>
                          <w:rFonts w:ascii="Cambria" w:hAnsi="Cambria"/>
                          <w:color w:val="0D0D0D"/>
                          <w:lang w:val="pt-BR"/>
                        </w:rPr>
                        <w:t>INADMISSIBILITY REPORT</w:t>
                      </w:r>
                    </w:p>
                    <w:p w14:paraId="014CFE3D" w14:textId="77777777" w:rsidR="007F1237" w:rsidRPr="00717CAE" w:rsidRDefault="007F1237" w:rsidP="007F1237">
                      <w:pPr>
                        <w:spacing w:after="0" w:line="276" w:lineRule="auto"/>
                        <w:rPr>
                          <w:rFonts w:ascii="Cambria" w:hAnsi="Cambria"/>
                          <w:lang w:val="pt-BR"/>
                        </w:rPr>
                      </w:pPr>
                    </w:p>
                    <w:p w14:paraId="402CEBDF" w14:textId="14399D1C" w:rsidR="00DF4939" w:rsidRPr="00717CAE" w:rsidRDefault="00DF4939" w:rsidP="007F1237">
                      <w:pPr>
                        <w:spacing w:after="0" w:line="276" w:lineRule="auto"/>
                        <w:rPr>
                          <w:rFonts w:ascii="Cambria" w:hAnsi="Cambria" w:cs="Arial"/>
                          <w:color w:val="0D0D0D"/>
                          <w:lang w:val="pt-BR"/>
                        </w:rPr>
                      </w:pPr>
                      <w:r w:rsidRPr="00717CAE">
                        <w:rPr>
                          <w:rFonts w:ascii="Cambria" w:hAnsi="Cambria"/>
                          <w:lang w:val="pt-BR"/>
                        </w:rPr>
                        <w:t>MANUEL ENRIQUE LEIVA OLIVA</w:t>
                      </w:r>
                    </w:p>
                    <w:p w14:paraId="166194B8" w14:textId="701430D2" w:rsidR="00DF4939" w:rsidRPr="007F1237" w:rsidRDefault="00DF4939" w:rsidP="007F1237">
                      <w:pPr>
                        <w:spacing w:after="0" w:line="276" w:lineRule="auto"/>
                        <w:rPr>
                          <w:rFonts w:ascii="Cambria" w:hAnsi="Cambria" w:cs="Arial"/>
                          <w:color w:val="0D0D0D"/>
                          <w:lang w:val="es-US"/>
                        </w:rPr>
                      </w:pPr>
                      <w:r w:rsidRPr="007F1237">
                        <w:rPr>
                          <w:rFonts w:ascii="Cambria" w:hAnsi="Cambria"/>
                          <w:color w:val="0D0D0D"/>
                          <w:lang w:val="es-US"/>
                        </w:rPr>
                        <w:t>HONDURAS</w:t>
                      </w:r>
                    </w:p>
                    <w:p w14:paraId="38930DFE" w14:textId="77777777" w:rsidR="00DF4939" w:rsidRPr="00365E52" w:rsidRDefault="00DF4939" w:rsidP="007A5817">
                      <w:pPr>
                        <w:rPr>
                          <w:color w:val="0D0D0D"/>
                          <w:lang w:val="es-ES_tradnl"/>
                        </w:rPr>
                      </w:pPr>
                    </w:p>
                  </w:txbxContent>
                </v:textbox>
              </v:shape>
            </w:pict>
          </mc:Fallback>
        </mc:AlternateContent>
      </w:r>
      <w:r w:rsidRPr="0046098E">
        <w:rPr>
          <w:rFonts w:ascii="Cambria" w:hAnsi="Cambria"/>
          <w:noProof/>
        </w:rPr>
        <mc:AlternateContent>
          <mc:Choice Requires="wps">
            <w:drawing>
              <wp:anchor distT="0" distB="0" distL="114300" distR="114300" simplePos="0" relativeHeight="251657216" behindDoc="0" locked="0" layoutInCell="1" allowOverlap="1" wp14:anchorId="104812D4" wp14:editId="3806FEE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E75E6" w14:textId="251700C9" w:rsidR="00DF4939" w:rsidRPr="00717CAE" w:rsidRDefault="00DF4939" w:rsidP="007F1237">
                            <w:pPr>
                              <w:spacing w:after="0" w:line="276" w:lineRule="auto"/>
                              <w:jc w:val="right"/>
                              <w:rPr>
                                <w:rFonts w:ascii="Calibri" w:hAnsi="Calibri"/>
                                <w:color w:val="FFFFFF"/>
                              </w:rPr>
                            </w:pPr>
                            <w:r w:rsidRPr="00717CAE">
                              <w:rPr>
                                <w:rFonts w:ascii="Calibri" w:hAnsi="Calibri"/>
                                <w:color w:val="FFFFFF"/>
                              </w:rPr>
                              <w:t>OEA/Ser.L/V/II</w:t>
                            </w:r>
                          </w:p>
                          <w:p w14:paraId="4C4DD949" w14:textId="3BF27835" w:rsidR="00DF4939" w:rsidRPr="00717CAE" w:rsidRDefault="00DF4939" w:rsidP="007F1237">
                            <w:pPr>
                              <w:spacing w:after="0" w:line="276" w:lineRule="auto"/>
                              <w:jc w:val="right"/>
                              <w:rPr>
                                <w:rFonts w:ascii="Calibri" w:hAnsi="Calibri"/>
                                <w:color w:val="FFFFFF"/>
                              </w:rPr>
                            </w:pPr>
                            <w:r w:rsidRPr="00717CAE">
                              <w:rPr>
                                <w:rFonts w:ascii="Calibri" w:hAnsi="Calibri"/>
                                <w:color w:val="FFFFFF"/>
                              </w:rPr>
                              <w:t xml:space="preserve">Doc. </w:t>
                            </w:r>
                            <w:r w:rsidR="00F03831" w:rsidRPr="00717CAE">
                              <w:rPr>
                                <w:rFonts w:ascii="Calibri" w:hAnsi="Calibri"/>
                                <w:color w:val="FFFFFF"/>
                              </w:rPr>
                              <w:t>110</w:t>
                            </w:r>
                          </w:p>
                          <w:p w14:paraId="6195B277" w14:textId="6F0979C0" w:rsidR="00DF4939" w:rsidRPr="00365E52" w:rsidRDefault="00F03831" w:rsidP="007F1237">
                            <w:pPr>
                              <w:spacing w:after="0" w:line="276" w:lineRule="auto"/>
                              <w:jc w:val="right"/>
                              <w:rPr>
                                <w:rFonts w:ascii="Calibri" w:hAnsi="Calibri"/>
                                <w:color w:val="FFFFFF"/>
                              </w:rPr>
                            </w:pPr>
                            <w:r>
                              <w:rPr>
                                <w:rFonts w:ascii="Calibri" w:hAnsi="Calibri"/>
                                <w:color w:val="FFFFFF"/>
                              </w:rPr>
                              <w:t>9 May 2022</w:t>
                            </w:r>
                          </w:p>
                          <w:p w14:paraId="46EC5D1E" w14:textId="77777777" w:rsidR="00DF4939" w:rsidRPr="00365E52" w:rsidRDefault="00DF4939" w:rsidP="007F1237">
                            <w:pPr>
                              <w:spacing w:after="0" w:line="276" w:lineRule="auto"/>
                              <w:jc w:val="right"/>
                              <w:rPr>
                                <w:rFonts w:ascii="Calibri" w:hAnsi="Calibri"/>
                                <w:color w:val="FFFFFF"/>
                              </w:rPr>
                            </w:pPr>
                            <w:r>
                              <w:rPr>
                                <w:rFonts w:ascii="Calibri" w:hAnsi="Calibri"/>
                                <w:color w:val="FFFFFF"/>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4812D4"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88E75E6" w14:textId="251700C9" w:rsidR="00DF4939" w:rsidRPr="00717CAE" w:rsidRDefault="00DF4939" w:rsidP="007F1237">
                      <w:pPr>
                        <w:spacing w:after="0" w:line="276" w:lineRule="auto"/>
                        <w:jc w:val="right"/>
                        <w:rPr>
                          <w:rFonts w:ascii="Calibri" w:hAnsi="Calibri"/>
                          <w:color w:val="FFFFFF"/>
                        </w:rPr>
                      </w:pPr>
                      <w:r w:rsidRPr="00717CAE">
                        <w:rPr>
                          <w:rFonts w:ascii="Calibri" w:hAnsi="Calibri"/>
                          <w:color w:val="FFFFFF"/>
                        </w:rPr>
                        <w:t>OEA/Ser.L/V/II</w:t>
                      </w:r>
                    </w:p>
                    <w:p w14:paraId="4C4DD949" w14:textId="3BF27835" w:rsidR="00DF4939" w:rsidRPr="00717CAE" w:rsidRDefault="00DF4939" w:rsidP="007F1237">
                      <w:pPr>
                        <w:spacing w:after="0" w:line="276" w:lineRule="auto"/>
                        <w:jc w:val="right"/>
                        <w:rPr>
                          <w:rFonts w:ascii="Calibri" w:hAnsi="Calibri"/>
                          <w:color w:val="FFFFFF"/>
                        </w:rPr>
                      </w:pPr>
                      <w:r w:rsidRPr="00717CAE">
                        <w:rPr>
                          <w:rFonts w:ascii="Calibri" w:hAnsi="Calibri"/>
                          <w:color w:val="FFFFFF"/>
                        </w:rPr>
                        <w:t xml:space="preserve">Doc. </w:t>
                      </w:r>
                      <w:r w:rsidR="00F03831" w:rsidRPr="00717CAE">
                        <w:rPr>
                          <w:rFonts w:ascii="Calibri" w:hAnsi="Calibri"/>
                          <w:color w:val="FFFFFF"/>
                        </w:rPr>
                        <w:t>110</w:t>
                      </w:r>
                    </w:p>
                    <w:p w14:paraId="6195B277" w14:textId="6F0979C0" w:rsidR="00DF4939" w:rsidRPr="00365E52" w:rsidRDefault="00F03831" w:rsidP="007F1237">
                      <w:pPr>
                        <w:spacing w:after="0" w:line="276" w:lineRule="auto"/>
                        <w:jc w:val="right"/>
                        <w:rPr>
                          <w:rFonts w:ascii="Calibri" w:hAnsi="Calibri"/>
                          <w:color w:val="FFFFFF"/>
                        </w:rPr>
                      </w:pPr>
                      <w:r>
                        <w:rPr>
                          <w:rFonts w:ascii="Calibri" w:hAnsi="Calibri"/>
                          <w:color w:val="FFFFFF"/>
                        </w:rPr>
                        <w:t>9 May 2022</w:t>
                      </w:r>
                    </w:p>
                    <w:p w14:paraId="46EC5D1E" w14:textId="77777777" w:rsidR="00DF4939" w:rsidRPr="00365E52" w:rsidRDefault="00DF4939" w:rsidP="007F1237">
                      <w:pPr>
                        <w:spacing w:after="0" w:line="276" w:lineRule="auto"/>
                        <w:jc w:val="right"/>
                        <w:rPr>
                          <w:rFonts w:ascii="Calibri" w:hAnsi="Calibri"/>
                          <w:color w:val="FFFFFF"/>
                        </w:rPr>
                      </w:pPr>
                      <w:r>
                        <w:rPr>
                          <w:rFonts w:ascii="Calibri" w:hAnsi="Calibri"/>
                          <w:color w:val="FFFFFF"/>
                        </w:rPr>
                        <w:t>Original: Spanish</w:t>
                      </w:r>
                    </w:p>
                  </w:txbxContent>
                </v:textbox>
              </v:shape>
            </w:pict>
          </mc:Fallback>
        </mc:AlternateContent>
      </w:r>
    </w:p>
    <w:p w14:paraId="4D6F660F" w14:textId="77777777" w:rsidR="0037742A" w:rsidRPr="0046098E" w:rsidRDefault="0037742A" w:rsidP="00040C3A">
      <w:pPr>
        <w:tabs>
          <w:tab w:val="center" w:pos="5400"/>
        </w:tabs>
        <w:suppressAutoHyphens/>
        <w:jc w:val="center"/>
        <w:rPr>
          <w:rFonts w:ascii="Cambria" w:hAnsi="Cambria" w:cs="Arial"/>
          <w:lang w:val="es-ES_tradnl"/>
        </w:rPr>
      </w:pPr>
    </w:p>
    <w:p w14:paraId="45AB2856" w14:textId="3C80C2BC" w:rsidR="0037742A" w:rsidRPr="0046098E" w:rsidRDefault="0037742A" w:rsidP="00040C3A">
      <w:pPr>
        <w:tabs>
          <w:tab w:val="center" w:pos="5400"/>
        </w:tabs>
        <w:suppressAutoHyphens/>
        <w:jc w:val="center"/>
        <w:rPr>
          <w:rFonts w:ascii="Cambria" w:hAnsi="Cambria"/>
          <w:lang w:val="es-ES_tradnl"/>
        </w:rPr>
      </w:pPr>
    </w:p>
    <w:p w14:paraId="523751BE" w14:textId="3EACAC9B" w:rsidR="0037742A" w:rsidRPr="0046098E" w:rsidRDefault="0037742A" w:rsidP="00040C3A">
      <w:pPr>
        <w:tabs>
          <w:tab w:val="center" w:pos="5400"/>
        </w:tabs>
        <w:suppressAutoHyphens/>
        <w:jc w:val="center"/>
        <w:rPr>
          <w:rFonts w:ascii="Cambria" w:hAnsi="Cambria"/>
          <w:lang w:val="es-ES_tradnl"/>
        </w:rPr>
      </w:pPr>
    </w:p>
    <w:p w14:paraId="2F47D272" w14:textId="06956BCE" w:rsidR="0037742A" w:rsidRPr="0046098E" w:rsidRDefault="0037742A" w:rsidP="00040C3A">
      <w:pPr>
        <w:tabs>
          <w:tab w:val="center" w:pos="5400"/>
        </w:tabs>
        <w:suppressAutoHyphens/>
        <w:jc w:val="center"/>
        <w:rPr>
          <w:rFonts w:ascii="Cambria" w:hAnsi="Cambria"/>
          <w:lang w:val="es-ES_tradnl"/>
        </w:rPr>
      </w:pPr>
    </w:p>
    <w:p w14:paraId="716132E2" w14:textId="6101F354" w:rsidR="0037742A" w:rsidRPr="0046098E" w:rsidRDefault="0037742A" w:rsidP="00040C3A">
      <w:pPr>
        <w:tabs>
          <w:tab w:val="center" w:pos="5400"/>
        </w:tabs>
        <w:suppressAutoHyphens/>
        <w:jc w:val="center"/>
        <w:rPr>
          <w:rFonts w:ascii="Cambria" w:hAnsi="Cambria"/>
          <w:lang w:val="es-ES_tradnl"/>
        </w:rPr>
      </w:pPr>
    </w:p>
    <w:p w14:paraId="7C1C979B" w14:textId="0AED6A05" w:rsidR="0037742A" w:rsidRPr="0046098E" w:rsidRDefault="0037742A" w:rsidP="00040C3A">
      <w:pPr>
        <w:tabs>
          <w:tab w:val="center" w:pos="5400"/>
        </w:tabs>
        <w:suppressAutoHyphens/>
        <w:jc w:val="center"/>
        <w:rPr>
          <w:rFonts w:ascii="Cambria" w:hAnsi="Cambria"/>
          <w:sz w:val="18"/>
          <w:lang w:val="es-ES_tradnl"/>
        </w:rPr>
      </w:pPr>
    </w:p>
    <w:p w14:paraId="6FF11A74" w14:textId="325296B1" w:rsidR="0037742A" w:rsidRPr="0046098E" w:rsidRDefault="0037742A" w:rsidP="00040C3A">
      <w:pPr>
        <w:tabs>
          <w:tab w:val="center" w:pos="5400"/>
        </w:tabs>
        <w:suppressAutoHyphens/>
        <w:jc w:val="center"/>
        <w:rPr>
          <w:rFonts w:ascii="Cambria" w:hAnsi="Cambria"/>
          <w:sz w:val="18"/>
          <w:lang w:val="es-ES_tradnl"/>
        </w:rPr>
      </w:pPr>
    </w:p>
    <w:p w14:paraId="0F90CBCE" w14:textId="5584DC4C" w:rsidR="0037742A" w:rsidRPr="0046098E" w:rsidRDefault="0037742A" w:rsidP="00040C3A">
      <w:pPr>
        <w:tabs>
          <w:tab w:val="center" w:pos="5400"/>
        </w:tabs>
        <w:suppressAutoHyphens/>
        <w:jc w:val="center"/>
        <w:rPr>
          <w:rFonts w:ascii="Cambria" w:hAnsi="Cambria"/>
          <w:sz w:val="18"/>
          <w:lang w:val="es-ES_tradnl"/>
        </w:rPr>
      </w:pPr>
    </w:p>
    <w:p w14:paraId="40E75475" w14:textId="06C537BE" w:rsidR="0037742A" w:rsidRPr="0046098E" w:rsidRDefault="0037742A" w:rsidP="00040C3A">
      <w:pPr>
        <w:tabs>
          <w:tab w:val="center" w:pos="5400"/>
        </w:tabs>
        <w:suppressAutoHyphens/>
        <w:jc w:val="center"/>
        <w:rPr>
          <w:rFonts w:ascii="Cambria" w:hAnsi="Cambria"/>
          <w:sz w:val="18"/>
          <w:lang w:val="es-ES_tradnl"/>
        </w:rPr>
      </w:pPr>
    </w:p>
    <w:p w14:paraId="059FF64E" w14:textId="456A9791" w:rsidR="0037742A" w:rsidRPr="0046098E" w:rsidRDefault="0037742A" w:rsidP="00040C3A">
      <w:pPr>
        <w:tabs>
          <w:tab w:val="center" w:pos="5400"/>
        </w:tabs>
        <w:suppressAutoHyphens/>
        <w:jc w:val="center"/>
        <w:rPr>
          <w:rFonts w:ascii="Cambria" w:hAnsi="Cambria"/>
          <w:sz w:val="18"/>
          <w:lang w:val="es-ES_tradnl"/>
        </w:rPr>
      </w:pPr>
    </w:p>
    <w:p w14:paraId="64B8D418" w14:textId="0E99D4E3" w:rsidR="0037742A" w:rsidRPr="0046098E" w:rsidRDefault="0037742A" w:rsidP="00040C3A">
      <w:pPr>
        <w:tabs>
          <w:tab w:val="center" w:pos="5400"/>
        </w:tabs>
        <w:suppressAutoHyphens/>
        <w:jc w:val="center"/>
        <w:rPr>
          <w:rFonts w:ascii="Cambria" w:hAnsi="Cambria"/>
          <w:sz w:val="18"/>
          <w:lang w:val="es-ES_tradnl"/>
        </w:rPr>
      </w:pPr>
    </w:p>
    <w:p w14:paraId="21AD7AAE" w14:textId="7CE8E6BC" w:rsidR="0037742A" w:rsidRPr="0046098E" w:rsidRDefault="0037742A" w:rsidP="00040C3A">
      <w:pPr>
        <w:tabs>
          <w:tab w:val="center" w:pos="5400"/>
        </w:tabs>
        <w:suppressAutoHyphens/>
        <w:jc w:val="center"/>
        <w:rPr>
          <w:rFonts w:ascii="Cambria" w:hAnsi="Cambria"/>
          <w:sz w:val="18"/>
          <w:lang w:val="es-ES_tradnl"/>
        </w:rPr>
      </w:pPr>
    </w:p>
    <w:p w14:paraId="17483683" w14:textId="182BD3DB" w:rsidR="0037742A" w:rsidRPr="0046098E" w:rsidRDefault="00D4419B" w:rsidP="00040C3A">
      <w:pPr>
        <w:tabs>
          <w:tab w:val="center" w:pos="5400"/>
        </w:tabs>
        <w:suppressAutoHyphens/>
        <w:jc w:val="center"/>
        <w:rPr>
          <w:rFonts w:ascii="Cambria" w:hAnsi="Cambria"/>
          <w:sz w:val="18"/>
        </w:rPr>
      </w:pPr>
      <w:r w:rsidRPr="0046098E">
        <w:rPr>
          <w:rFonts w:ascii="Cambria" w:hAnsi="Cambria"/>
          <w:noProof/>
        </w:rPr>
        <mc:AlternateContent>
          <mc:Choice Requires="wps">
            <w:drawing>
              <wp:anchor distT="0" distB="0" distL="114300" distR="114300" simplePos="0" relativeHeight="251656192" behindDoc="0" locked="0" layoutInCell="1" allowOverlap="1" wp14:anchorId="7F6D73A6" wp14:editId="7E3D4A2C">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FF3FA" w14:textId="6E230CAD" w:rsidR="00DF4939" w:rsidRPr="00365E52" w:rsidRDefault="001657F9" w:rsidP="00DD3D86">
                            <w:pPr>
                              <w:tabs>
                                <w:tab w:val="center" w:pos="5400"/>
                              </w:tabs>
                              <w:suppressAutoHyphens/>
                              <w:spacing w:before="60"/>
                              <w:rPr>
                                <w:rFonts w:ascii="Cambria" w:hAnsi="Cambria"/>
                                <w:color w:val="0D0D0D"/>
                                <w:sz w:val="18"/>
                              </w:rPr>
                            </w:pPr>
                            <w:r>
                              <w:rPr>
                                <w:rFonts w:ascii="Cambria" w:hAnsi="Cambria"/>
                                <w:color w:val="0D0D0D"/>
                                <w:sz w:val="18"/>
                              </w:rPr>
                              <w:t>Approved</w:t>
                            </w:r>
                            <w:r w:rsidR="00DF4939">
                              <w:rPr>
                                <w:rFonts w:ascii="Cambria" w:hAnsi="Cambria"/>
                                <w:color w:val="0D0D0D"/>
                                <w:sz w:val="18"/>
                              </w:rPr>
                              <w:t xml:space="preserve"> electronically by the Commission on </w:t>
                            </w:r>
                            <w:r>
                              <w:rPr>
                                <w:rFonts w:ascii="Cambria" w:hAnsi="Cambria"/>
                                <w:color w:val="0D0D0D"/>
                                <w:sz w:val="18"/>
                              </w:rPr>
                              <w:t>May 9</w:t>
                            </w:r>
                            <w:r w:rsidR="00DF4939">
                              <w:rPr>
                                <w:rFonts w:ascii="Cambria" w:hAnsi="Cambria"/>
                                <w:color w:val="0D0D0D"/>
                                <w:sz w:val="18"/>
                              </w:rPr>
                              <w:t>, 2022</w:t>
                            </w:r>
                            <w:r>
                              <w:rPr>
                                <w:rFonts w:ascii="Cambria" w:hAnsi="Cambria"/>
                                <w:color w:val="0D0D0D"/>
                                <w:sz w:val="18"/>
                              </w:rPr>
                              <w:t>.</w:t>
                            </w:r>
                          </w:p>
                          <w:p w14:paraId="604F9230" w14:textId="77777777" w:rsidR="00DF4939" w:rsidRPr="007F1237" w:rsidRDefault="00DF4939" w:rsidP="00247403">
                            <w:pPr>
                              <w:tabs>
                                <w:tab w:val="center" w:pos="5400"/>
                              </w:tabs>
                              <w:suppressAutoHyphens/>
                              <w:spacing w:before="60"/>
                              <w:rPr>
                                <w:rFonts w:ascii="Calibri" w:hAnsi="Calibri" w:cs="Univers"/>
                                <w:color w:val="0D0D0D"/>
                                <w:sz w:val="20"/>
                                <w:szCs w:val="20"/>
                              </w:rPr>
                            </w:pPr>
                          </w:p>
                          <w:p w14:paraId="67A82981" w14:textId="77777777" w:rsidR="00DF4939" w:rsidRPr="007F1237" w:rsidRDefault="00DF4939" w:rsidP="0059191A">
                            <w:pPr>
                              <w:tabs>
                                <w:tab w:val="center" w:pos="5400"/>
                              </w:tabs>
                              <w:suppressAutoHyphens/>
                              <w:spacing w:before="60"/>
                              <w:rPr>
                                <w:rFonts w:ascii="Calibri" w:hAnsi="Calibri"/>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6D73A6"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524FF3FA" w14:textId="6E230CAD" w:rsidR="00DF4939" w:rsidRPr="00365E52" w:rsidRDefault="001657F9" w:rsidP="00DD3D86">
                      <w:pPr>
                        <w:tabs>
                          <w:tab w:val="center" w:pos="5400"/>
                        </w:tabs>
                        <w:suppressAutoHyphens/>
                        <w:spacing w:before="60"/>
                        <w:rPr>
                          <w:rFonts w:ascii="Cambria" w:hAnsi="Cambria"/>
                          <w:color w:val="0D0D0D"/>
                          <w:sz w:val="18"/>
                        </w:rPr>
                      </w:pPr>
                      <w:r>
                        <w:rPr>
                          <w:rFonts w:ascii="Cambria" w:hAnsi="Cambria"/>
                          <w:color w:val="0D0D0D"/>
                          <w:sz w:val="18"/>
                        </w:rPr>
                        <w:t>Approved</w:t>
                      </w:r>
                      <w:r w:rsidR="00DF4939">
                        <w:rPr>
                          <w:rFonts w:ascii="Cambria" w:hAnsi="Cambria"/>
                          <w:color w:val="0D0D0D"/>
                          <w:sz w:val="18"/>
                        </w:rPr>
                        <w:t xml:space="preserve"> electronically by the Commission on </w:t>
                      </w:r>
                      <w:r>
                        <w:rPr>
                          <w:rFonts w:ascii="Cambria" w:hAnsi="Cambria"/>
                          <w:color w:val="0D0D0D"/>
                          <w:sz w:val="18"/>
                        </w:rPr>
                        <w:t>May 9</w:t>
                      </w:r>
                      <w:r w:rsidR="00DF4939">
                        <w:rPr>
                          <w:rFonts w:ascii="Cambria" w:hAnsi="Cambria"/>
                          <w:color w:val="0D0D0D"/>
                          <w:sz w:val="18"/>
                        </w:rPr>
                        <w:t>, 2022</w:t>
                      </w:r>
                      <w:r>
                        <w:rPr>
                          <w:rFonts w:ascii="Cambria" w:hAnsi="Cambria"/>
                          <w:color w:val="0D0D0D"/>
                          <w:sz w:val="18"/>
                        </w:rPr>
                        <w:t>.</w:t>
                      </w:r>
                    </w:p>
                    <w:p w14:paraId="604F9230" w14:textId="77777777" w:rsidR="00DF4939" w:rsidRPr="007F1237" w:rsidRDefault="00DF4939" w:rsidP="00247403">
                      <w:pPr>
                        <w:tabs>
                          <w:tab w:val="center" w:pos="5400"/>
                        </w:tabs>
                        <w:suppressAutoHyphens/>
                        <w:spacing w:before="60"/>
                        <w:rPr>
                          <w:rFonts w:ascii="Calibri" w:hAnsi="Calibri" w:cs="Univers"/>
                          <w:color w:val="0D0D0D"/>
                          <w:sz w:val="20"/>
                          <w:szCs w:val="20"/>
                        </w:rPr>
                      </w:pPr>
                    </w:p>
                    <w:p w14:paraId="67A82981" w14:textId="77777777" w:rsidR="00DF4939" w:rsidRPr="007F1237" w:rsidRDefault="00DF4939" w:rsidP="0059191A">
                      <w:pPr>
                        <w:tabs>
                          <w:tab w:val="center" w:pos="5400"/>
                        </w:tabs>
                        <w:suppressAutoHyphens/>
                        <w:spacing w:before="60"/>
                        <w:rPr>
                          <w:rFonts w:ascii="Calibri" w:hAnsi="Calibri"/>
                          <w:color w:val="FFFFFF"/>
                          <w:spacing w:val="-2"/>
                          <w:sz w:val="16"/>
                        </w:rPr>
                      </w:pPr>
                    </w:p>
                  </w:txbxContent>
                </v:textbox>
              </v:shape>
            </w:pict>
          </mc:Fallback>
        </mc:AlternateContent>
      </w:r>
    </w:p>
    <w:p w14:paraId="485FF623" w14:textId="2AECE3C8" w:rsidR="0037742A" w:rsidRPr="0046098E" w:rsidRDefault="0037742A" w:rsidP="00040C3A">
      <w:pPr>
        <w:tabs>
          <w:tab w:val="center" w:pos="5400"/>
        </w:tabs>
        <w:suppressAutoHyphens/>
        <w:jc w:val="center"/>
        <w:rPr>
          <w:rFonts w:ascii="Cambria" w:hAnsi="Cambria"/>
          <w:sz w:val="18"/>
          <w:lang w:val="es-ES_tradnl"/>
        </w:rPr>
      </w:pPr>
    </w:p>
    <w:p w14:paraId="24727F8C" w14:textId="22A9D44F" w:rsidR="0037742A" w:rsidRPr="0046098E" w:rsidRDefault="0037742A" w:rsidP="00040C3A">
      <w:pPr>
        <w:tabs>
          <w:tab w:val="center" w:pos="5400"/>
        </w:tabs>
        <w:suppressAutoHyphens/>
        <w:jc w:val="center"/>
        <w:rPr>
          <w:rFonts w:ascii="Cambria" w:hAnsi="Cambria"/>
          <w:sz w:val="18"/>
          <w:lang w:val="es-ES_tradnl"/>
        </w:rPr>
      </w:pPr>
    </w:p>
    <w:p w14:paraId="63D814B4" w14:textId="4CA8E6ED" w:rsidR="0037742A" w:rsidRPr="0046098E" w:rsidRDefault="00D4419B" w:rsidP="00040C3A">
      <w:pPr>
        <w:tabs>
          <w:tab w:val="center" w:pos="5400"/>
        </w:tabs>
        <w:suppressAutoHyphens/>
        <w:jc w:val="center"/>
        <w:rPr>
          <w:rFonts w:ascii="Cambria" w:hAnsi="Cambria"/>
          <w:sz w:val="18"/>
        </w:rPr>
      </w:pPr>
      <w:r w:rsidRPr="0046098E">
        <w:rPr>
          <w:rFonts w:ascii="Cambria" w:hAnsi="Cambria"/>
          <w:noProof/>
        </w:rPr>
        <mc:AlternateContent>
          <mc:Choice Requires="wps">
            <w:drawing>
              <wp:anchor distT="0" distB="0" distL="114300" distR="114300" simplePos="0" relativeHeight="251659264" behindDoc="0" locked="0" layoutInCell="1" allowOverlap="1" wp14:anchorId="3FCDAE67" wp14:editId="25F847F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1C1E2" w14:textId="77777777" w:rsidR="00184D87" w:rsidRDefault="00DF4939" w:rsidP="00184D87">
                            <w:pPr>
                              <w:spacing w:after="0" w:line="240" w:lineRule="auto"/>
                              <w:rPr>
                                <w:rFonts w:ascii="Cambria" w:hAnsi="Cambria"/>
                                <w:color w:val="595959"/>
                                <w:sz w:val="18"/>
                                <w:lang w:val="pt-BR"/>
                              </w:rPr>
                            </w:pPr>
                            <w:r>
                              <w:rPr>
                                <w:rFonts w:ascii="Cambria" w:hAnsi="Cambria"/>
                                <w:b/>
                                <w:color w:val="595959"/>
                                <w:sz w:val="18"/>
                              </w:rPr>
                              <w:t>Cite as:</w:t>
                            </w:r>
                            <w:r>
                              <w:rPr>
                                <w:rFonts w:ascii="Cambria" w:hAnsi="Cambria"/>
                                <w:color w:val="595959"/>
                                <w:sz w:val="18"/>
                              </w:rPr>
                              <w:t xml:space="preserve"> IACHR, Report No. </w:t>
                            </w:r>
                            <w:r w:rsidR="001657F9">
                              <w:rPr>
                                <w:rFonts w:ascii="Cambria" w:hAnsi="Cambria"/>
                                <w:color w:val="595959"/>
                                <w:sz w:val="18"/>
                              </w:rPr>
                              <w:t>107</w:t>
                            </w:r>
                            <w:r>
                              <w:rPr>
                                <w:rFonts w:ascii="Cambria" w:hAnsi="Cambria"/>
                                <w:color w:val="595959"/>
                                <w:sz w:val="18"/>
                              </w:rPr>
                              <w:t>/2</w:t>
                            </w:r>
                            <w:r w:rsidR="001657F9">
                              <w:rPr>
                                <w:rFonts w:ascii="Cambria" w:hAnsi="Cambria"/>
                                <w:color w:val="595959"/>
                                <w:sz w:val="18"/>
                              </w:rPr>
                              <w:t>2</w:t>
                            </w:r>
                            <w:r>
                              <w:rPr>
                                <w:rFonts w:ascii="Cambria" w:hAnsi="Cambria"/>
                                <w:color w:val="595959"/>
                                <w:sz w:val="18"/>
                              </w:rPr>
                              <w:t xml:space="preserve">. </w:t>
                            </w:r>
                            <w:r w:rsidRPr="001657F9">
                              <w:rPr>
                                <w:rFonts w:ascii="Cambria" w:hAnsi="Cambria"/>
                                <w:color w:val="595959"/>
                                <w:sz w:val="18"/>
                              </w:rPr>
                              <w:t>Petition 375-14</w:t>
                            </w:r>
                            <w:r w:rsidR="001657F9" w:rsidRPr="001657F9">
                              <w:rPr>
                                <w:rFonts w:ascii="Cambria" w:hAnsi="Cambria"/>
                                <w:color w:val="595959"/>
                                <w:sz w:val="18"/>
                              </w:rPr>
                              <w:t>.</w:t>
                            </w:r>
                            <w:r w:rsidRPr="001657F9">
                              <w:rPr>
                                <w:rFonts w:ascii="Cambria" w:hAnsi="Cambria"/>
                                <w:color w:val="595959"/>
                                <w:sz w:val="18"/>
                              </w:rPr>
                              <w:t xml:space="preserve"> </w:t>
                            </w:r>
                            <w:r w:rsidR="001657F9">
                              <w:rPr>
                                <w:rFonts w:ascii="Cambria" w:hAnsi="Cambria"/>
                                <w:color w:val="595959"/>
                                <w:sz w:val="18"/>
                                <w:lang w:val="pt-BR"/>
                              </w:rPr>
                              <w:t>Ina</w:t>
                            </w:r>
                            <w:r w:rsidRPr="00E00EBB">
                              <w:rPr>
                                <w:rFonts w:ascii="Cambria" w:hAnsi="Cambria"/>
                                <w:color w:val="595959"/>
                                <w:sz w:val="18"/>
                                <w:lang w:val="pt-BR"/>
                              </w:rPr>
                              <w:t xml:space="preserve">dmissibility. </w:t>
                            </w:r>
                          </w:p>
                          <w:p w14:paraId="61BF5B19" w14:textId="68CF2595" w:rsidR="00DF4939" w:rsidRPr="001657F9" w:rsidRDefault="00DF4939" w:rsidP="00184D87">
                            <w:pPr>
                              <w:spacing w:after="0" w:line="240" w:lineRule="auto"/>
                              <w:rPr>
                                <w:rFonts w:ascii="Cambria" w:hAnsi="Cambria"/>
                                <w:color w:val="595959"/>
                                <w:sz w:val="18"/>
                                <w:szCs w:val="18"/>
                                <w:lang w:val="pt-BR"/>
                              </w:rPr>
                            </w:pPr>
                            <w:r w:rsidRPr="00E00EBB">
                              <w:rPr>
                                <w:rFonts w:ascii="Cambria" w:hAnsi="Cambria"/>
                                <w:color w:val="595959"/>
                                <w:sz w:val="18"/>
                                <w:lang w:val="pt-BR"/>
                              </w:rPr>
                              <w:t>Manuel</w:t>
                            </w:r>
                            <w:r w:rsidR="001657F9">
                              <w:rPr>
                                <w:rFonts w:ascii="Cambria" w:hAnsi="Cambria"/>
                                <w:color w:val="595959"/>
                                <w:sz w:val="18"/>
                                <w:lang w:val="pt-BR"/>
                              </w:rPr>
                              <w:t xml:space="preserve"> </w:t>
                            </w:r>
                            <w:r w:rsidRPr="00E00EBB">
                              <w:rPr>
                                <w:rFonts w:ascii="Cambria" w:hAnsi="Cambria"/>
                                <w:color w:val="595959"/>
                                <w:sz w:val="18"/>
                                <w:lang w:val="pt-BR"/>
                              </w:rPr>
                              <w:t xml:space="preserve">Enrique Leiva Oliva. </w:t>
                            </w:r>
                            <w:r w:rsidRPr="001657F9">
                              <w:rPr>
                                <w:rFonts w:ascii="Cambria" w:hAnsi="Cambria"/>
                                <w:color w:val="595959"/>
                                <w:sz w:val="18"/>
                                <w:lang w:val="pt-BR"/>
                              </w:rPr>
                              <w:t xml:space="preserve">Honduras. </w:t>
                            </w:r>
                            <w:r w:rsidR="001657F9">
                              <w:rPr>
                                <w:rFonts w:ascii="Cambria" w:hAnsi="Cambria"/>
                                <w:color w:val="595959"/>
                                <w:sz w:val="18"/>
                                <w:lang w:val="pt-BR"/>
                              </w:rPr>
                              <w:t>May 9, 2022</w:t>
                            </w:r>
                            <w:r w:rsidRPr="001657F9">
                              <w:rPr>
                                <w:rFonts w:ascii="Cambria" w:hAnsi="Cambria"/>
                                <w:color w:val="595959"/>
                                <w:sz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CDAE67"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6DE1C1E2" w14:textId="77777777" w:rsidR="00184D87" w:rsidRDefault="00DF4939" w:rsidP="00184D87">
                      <w:pPr>
                        <w:spacing w:after="0" w:line="240" w:lineRule="auto"/>
                        <w:rPr>
                          <w:rFonts w:ascii="Cambria" w:hAnsi="Cambria"/>
                          <w:color w:val="595959"/>
                          <w:sz w:val="18"/>
                          <w:lang w:val="pt-BR"/>
                        </w:rPr>
                      </w:pPr>
                      <w:r>
                        <w:rPr>
                          <w:rFonts w:ascii="Cambria" w:hAnsi="Cambria"/>
                          <w:b/>
                          <w:color w:val="595959"/>
                          <w:sz w:val="18"/>
                        </w:rPr>
                        <w:t>Cite as:</w:t>
                      </w:r>
                      <w:r>
                        <w:rPr>
                          <w:rFonts w:ascii="Cambria" w:hAnsi="Cambria"/>
                          <w:color w:val="595959"/>
                          <w:sz w:val="18"/>
                        </w:rPr>
                        <w:t xml:space="preserve"> IACHR, Report No. </w:t>
                      </w:r>
                      <w:r w:rsidR="001657F9">
                        <w:rPr>
                          <w:rFonts w:ascii="Cambria" w:hAnsi="Cambria"/>
                          <w:color w:val="595959"/>
                          <w:sz w:val="18"/>
                        </w:rPr>
                        <w:t>107</w:t>
                      </w:r>
                      <w:r>
                        <w:rPr>
                          <w:rFonts w:ascii="Cambria" w:hAnsi="Cambria"/>
                          <w:color w:val="595959"/>
                          <w:sz w:val="18"/>
                        </w:rPr>
                        <w:t>/2</w:t>
                      </w:r>
                      <w:r w:rsidR="001657F9">
                        <w:rPr>
                          <w:rFonts w:ascii="Cambria" w:hAnsi="Cambria"/>
                          <w:color w:val="595959"/>
                          <w:sz w:val="18"/>
                        </w:rPr>
                        <w:t>2</w:t>
                      </w:r>
                      <w:r>
                        <w:rPr>
                          <w:rFonts w:ascii="Cambria" w:hAnsi="Cambria"/>
                          <w:color w:val="595959"/>
                          <w:sz w:val="18"/>
                        </w:rPr>
                        <w:t xml:space="preserve">. </w:t>
                      </w:r>
                      <w:r w:rsidRPr="001657F9">
                        <w:rPr>
                          <w:rFonts w:ascii="Cambria" w:hAnsi="Cambria"/>
                          <w:color w:val="595959"/>
                          <w:sz w:val="18"/>
                        </w:rPr>
                        <w:t>Petition 375-14</w:t>
                      </w:r>
                      <w:r w:rsidR="001657F9" w:rsidRPr="001657F9">
                        <w:rPr>
                          <w:rFonts w:ascii="Cambria" w:hAnsi="Cambria"/>
                          <w:color w:val="595959"/>
                          <w:sz w:val="18"/>
                        </w:rPr>
                        <w:t>.</w:t>
                      </w:r>
                      <w:r w:rsidRPr="001657F9">
                        <w:rPr>
                          <w:rFonts w:ascii="Cambria" w:hAnsi="Cambria"/>
                          <w:color w:val="595959"/>
                          <w:sz w:val="18"/>
                        </w:rPr>
                        <w:t xml:space="preserve"> </w:t>
                      </w:r>
                      <w:r w:rsidR="001657F9">
                        <w:rPr>
                          <w:rFonts w:ascii="Cambria" w:hAnsi="Cambria"/>
                          <w:color w:val="595959"/>
                          <w:sz w:val="18"/>
                          <w:lang w:val="pt-BR"/>
                        </w:rPr>
                        <w:t>Ina</w:t>
                      </w:r>
                      <w:r w:rsidRPr="00E00EBB">
                        <w:rPr>
                          <w:rFonts w:ascii="Cambria" w:hAnsi="Cambria"/>
                          <w:color w:val="595959"/>
                          <w:sz w:val="18"/>
                          <w:lang w:val="pt-BR"/>
                        </w:rPr>
                        <w:t xml:space="preserve">dmissibility. </w:t>
                      </w:r>
                    </w:p>
                    <w:p w14:paraId="61BF5B19" w14:textId="68CF2595" w:rsidR="00DF4939" w:rsidRPr="001657F9" w:rsidRDefault="00DF4939" w:rsidP="00184D87">
                      <w:pPr>
                        <w:spacing w:after="0" w:line="240" w:lineRule="auto"/>
                        <w:rPr>
                          <w:rFonts w:ascii="Cambria" w:hAnsi="Cambria"/>
                          <w:color w:val="595959"/>
                          <w:sz w:val="18"/>
                          <w:szCs w:val="18"/>
                          <w:lang w:val="pt-BR"/>
                        </w:rPr>
                      </w:pPr>
                      <w:r w:rsidRPr="00E00EBB">
                        <w:rPr>
                          <w:rFonts w:ascii="Cambria" w:hAnsi="Cambria"/>
                          <w:color w:val="595959"/>
                          <w:sz w:val="18"/>
                          <w:lang w:val="pt-BR"/>
                        </w:rPr>
                        <w:t>Manuel</w:t>
                      </w:r>
                      <w:r w:rsidR="001657F9">
                        <w:rPr>
                          <w:rFonts w:ascii="Cambria" w:hAnsi="Cambria"/>
                          <w:color w:val="595959"/>
                          <w:sz w:val="18"/>
                          <w:lang w:val="pt-BR"/>
                        </w:rPr>
                        <w:t xml:space="preserve"> </w:t>
                      </w:r>
                      <w:r w:rsidRPr="00E00EBB">
                        <w:rPr>
                          <w:rFonts w:ascii="Cambria" w:hAnsi="Cambria"/>
                          <w:color w:val="595959"/>
                          <w:sz w:val="18"/>
                          <w:lang w:val="pt-BR"/>
                        </w:rPr>
                        <w:t xml:space="preserve">Enrique Leiva Oliva. </w:t>
                      </w:r>
                      <w:r w:rsidRPr="001657F9">
                        <w:rPr>
                          <w:rFonts w:ascii="Cambria" w:hAnsi="Cambria"/>
                          <w:color w:val="595959"/>
                          <w:sz w:val="18"/>
                          <w:lang w:val="pt-BR"/>
                        </w:rPr>
                        <w:t xml:space="preserve">Honduras. </w:t>
                      </w:r>
                      <w:r w:rsidR="001657F9">
                        <w:rPr>
                          <w:rFonts w:ascii="Cambria" w:hAnsi="Cambria"/>
                          <w:color w:val="595959"/>
                          <w:sz w:val="18"/>
                          <w:lang w:val="pt-BR"/>
                        </w:rPr>
                        <w:t>May 9, 2022</w:t>
                      </w:r>
                      <w:r w:rsidRPr="001657F9">
                        <w:rPr>
                          <w:rFonts w:ascii="Cambria" w:hAnsi="Cambria"/>
                          <w:color w:val="595959"/>
                          <w:sz w:val="18"/>
                          <w:lang w:val="pt-BR"/>
                        </w:rPr>
                        <w:t>.</w:t>
                      </w:r>
                    </w:p>
                  </w:txbxContent>
                </v:textbox>
              </v:shape>
            </w:pict>
          </mc:Fallback>
        </mc:AlternateContent>
      </w:r>
    </w:p>
    <w:p w14:paraId="739F2EE7" w14:textId="081E9F6B" w:rsidR="0037742A" w:rsidRPr="0046098E" w:rsidRDefault="0037742A" w:rsidP="00040C3A">
      <w:pPr>
        <w:tabs>
          <w:tab w:val="center" w:pos="5400"/>
        </w:tabs>
        <w:suppressAutoHyphens/>
        <w:jc w:val="center"/>
        <w:rPr>
          <w:rFonts w:ascii="Cambria" w:hAnsi="Cambria"/>
          <w:sz w:val="18"/>
          <w:lang w:val="es-ES_tradnl"/>
        </w:rPr>
      </w:pPr>
    </w:p>
    <w:p w14:paraId="3CD75B3D" w14:textId="763DD897" w:rsidR="0037742A" w:rsidRPr="0046098E" w:rsidRDefault="00D4419B" w:rsidP="005516A1">
      <w:pPr>
        <w:tabs>
          <w:tab w:val="center" w:pos="5400"/>
        </w:tabs>
        <w:suppressAutoHyphens/>
        <w:jc w:val="center"/>
        <w:rPr>
          <w:rFonts w:ascii="Cambria" w:hAnsi="Cambria"/>
          <w:b/>
          <w:sz w:val="20"/>
        </w:rPr>
      </w:pPr>
      <w:r w:rsidRPr="0046098E">
        <w:rPr>
          <w:rFonts w:ascii="Cambria" w:hAnsi="Cambria"/>
          <w:noProof/>
        </w:rPr>
        <mc:AlternateContent>
          <mc:Choice Requires="wps">
            <w:drawing>
              <wp:anchor distT="0" distB="0" distL="114300" distR="114300" simplePos="0" relativeHeight="251661312" behindDoc="0" locked="0" layoutInCell="1" allowOverlap="1" wp14:anchorId="7CF8AEF3" wp14:editId="6729AEFD">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C75E2" w14:textId="77777777" w:rsidR="00DF4939" w:rsidRPr="00365E52" w:rsidRDefault="00DF4939" w:rsidP="00D306D1">
                            <w:pPr>
                              <w:jc w:val="center"/>
                              <w:rPr>
                                <w:rFonts w:ascii="Calibri" w:hAnsi="Calibri"/>
                                <w:b/>
                                <w:color w:val="FFFFFF"/>
                              </w:rPr>
                            </w:pPr>
                            <w:r>
                              <w:rPr>
                                <w:rFonts w:ascii="Calibri" w:hAnsi="Calibri"/>
                                <w:b/>
                                <w:color w:val="FFFFFF"/>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8AEF3" id="Text Box 4" o:spid="_x0000_s1031"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4E4C75E2" w14:textId="77777777" w:rsidR="00DF4939" w:rsidRPr="00365E52" w:rsidRDefault="00DF4939" w:rsidP="00D306D1">
                      <w:pPr>
                        <w:jc w:val="center"/>
                        <w:rPr>
                          <w:rFonts w:ascii="Calibri" w:hAnsi="Calibri"/>
                          <w:b/>
                          <w:color w:val="FFFFFF"/>
                        </w:rPr>
                      </w:pPr>
                      <w:r>
                        <w:rPr>
                          <w:rFonts w:ascii="Calibri" w:hAnsi="Calibri"/>
                          <w:b/>
                          <w:color w:val="FFFFFF"/>
                        </w:rPr>
                        <w:t>www.cidh.org</w:t>
                      </w:r>
                    </w:p>
                  </w:txbxContent>
                </v:textbox>
              </v:shape>
            </w:pict>
          </mc:Fallback>
        </mc:AlternateContent>
      </w:r>
    </w:p>
    <w:p w14:paraId="2CD40ECD" w14:textId="2314634B" w:rsidR="0037742A" w:rsidRPr="0046098E" w:rsidRDefault="00184D87" w:rsidP="005516A1">
      <w:pPr>
        <w:tabs>
          <w:tab w:val="center" w:pos="5400"/>
        </w:tabs>
        <w:suppressAutoHyphens/>
        <w:jc w:val="center"/>
        <w:rPr>
          <w:rFonts w:ascii="Cambria" w:hAnsi="Cambria"/>
          <w:b/>
          <w:sz w:val="20"/>
        </w:rPr>
        <w:sectPr w:rsidR="0037742A" w:rsidRPr="0046098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rtlGutter/>
          <w:docGrid w:linePitch="326"/>
        </w:sectPr>
      </w:pPr>
      <w:r w:rsidRPr="0046098E">
        <w:rPr>
          <w:rFonts w:ascii="Cambria" w:hAnsi="Cambria"/>
          <w:noProof/>
        </w:rPr>
        <mc:AlternateContent>
          <mc:Choice Requires="wps">
            <w:drawing>
              <wp:anchor distT="0" distB="0" distL="114300" distR="114300" simplePos="0" relativeHeight="251660288" behindDoc="0" locked="0" layoutInCell="1" allowOverlap="1" wp14:anchorId="6C6BAA08" wp14:editId="7B6C58F4">
                <wp:simplePos x="0" y="0"/>
                <wp:positionH relativeFrom="column">
                  <wp:posOffset>1310944</wp:posOffset>
                </wp:positionH>
                <wp:positionV relativeFrom="paragraph">
                  <wp:posOffset>114300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20644A" w14:textId="72863F5A" w:rsidR="00DF4939" w:rsidRPr="00365E52" w:rsidRDefault="007F1237" w:rsidP="00F02AD1">
                            <w:pPr>
                              <w:rPr>
                                <w:color w:val="FFFFFF"/>
                              </w:rPr>
                            </w:pPr>
                            <w:r>
                              <w:rPr>
                                <w:noProof/>
                                <w:color w:val="FFFFFF"/>
                              </w:rPr>
                              <w:drawing>
                                <wp:inline distT="0" distB="0" distL="0" distR="0" wp14:anchorId="233959D5" wp14:editId="752D0E15">
                                  <wp:extent cx="1862455" cy="475615"/>
                                  <wp:effectExtent l="0" t="0" r="4445" b="63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3"/>
                                          <a:stretch>
                                            <a:fillRect/>
                                          </a:stretch>
                                        </pic:blipFill>
                                        <pic:spPr>
                                          <a:xfrm>
                                            <a:off x="0" y="0"/>
                                            <a:ext cx="1862455"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BAA08" id="Text Box 9" o:spid="_x0000_s1032" type="#_x0000_t202" style="position:absolute;left:0;text-align:left;margin-left:103.2pt;margin-top:9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hN+QEAANE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" stroked="f" strokeweight=".5pt">
                <v:textbox>
                  <w:txbxContent>
                    <w:p w14:paraId="5320644A" w14:textId="72863F5A" w:rsidR="00DF4939" w:rsidRPr="00365E52" w:rsidRDefault="007F1237" w:rsidP="00F02AD1">
                      <w:pPr>
                        <w:rPr>
                          <w:color w:val="FFFFFF"/>
                        </w:rPr>
                      </w:pPr>
                      <w:r>
                        <w:rPr>
                          <w:noProof/>
                          <w:color w:val="FFFFFF"/>
                        </w:rPr>
                        <w:drawing>
                          <wp:inline distT="0" distB="0" distL="0" distR="0" wp14:anchorId="233959D5" wp14:editId="752D0E15">
                            <wp:extent cx="1862455" cy="475615"/>
                            <wp:effectExtent l="0" t="0" r="4445" b="63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3"/>
                                    <a:stretch>
                                      <a:fillRect/>
                                    </a:stretch>
                                  </pic:blipFill>
                                  <pic:spPr>
                                    <a:xfrm>
                                      <a:off x="0" y="0"/>
                                      <a:ext cx="1862455" cy="475615"/>
                                    </a:xfrm>
                                    <a:prstGeom prst="rect">
                                      <a:avLst/>
                                    </a:prstGeom>
                                  </pic:spPr>
                                </pic:pic>
                              </a:graphicData>
                            </a:graphic>
                          </wp:inline>
                        </w:drawing>
                      </w:r>
                    </w:p>
                  </w:txbxContent>
                </v:textbox>
              </v:shape>
            </w:pict>
          </mc:Fallback>
        </mc:AlternateContent>
      </w:r>
      <w:r w:rsidR="009F744D" w:rsidRPr="006276BB">
        <w:rPr>
          <w:rFonts w:asciiTheme="majorHAnsi" w:hAnsiTheme="majorHAnsi"/>
          <w:noProof/>
        </w:rPr>
        <mc:AlternateContent>
          <mc:Choice Requires="wps">
            <w:drawing>
              <wp:anchor distT="0" distB="0" distL="114300" distR="114300" simplePos="0" relativeHeight="251663360" behindDoc="0" locked="0" layoutInCell="1" allowOverlap="1" wp14:anchorId="44FDE97D" wp14:editId="60320A69">
                <wp:simplePos x="0" y="0"/>
                <wp:positionH relativeFrom="column">
                  <wp:posOffset>-238429</wp:posOffset>
                </wp:positionH>
                <wp:positionV relativeFrom="paragraph">
                  <wp:posOffset>273823</wp:posOffset>
                </wp:positionV>
                <wp:extent cx="1181100" cy="33274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731908E3" w14:textId="5689A424" w:rsidR="009F744D" w:rsidRPr="00365E52" w:rsidRDefault="009F744D" w:rsidP="009F744D">
                            <w:pPr>
                              <w:jc w:val="center"/>
                              <w:rPr>
                                <w:rFonts w:ascii="Calibri" w:hAnsi="Calibri"/>
                                <w:b/>
                                <w:color w:val="FFFFFF"/>
                              </w:rPr>
                            </w:pPr>
                            <w:r w:rsidRPr="00365E52">
                              <w:rPr>
                                <w:rFonts w:ascii="Calibri" w:hAnsi="Calibri"/>
                                <w:b/>
                                <w:color w:val="FFFFFF"/>
                                <w:lang w:val="pt-BR"/>
                              </w:rPr>
                              <w:t>www.</w:t>
                            </w:r>
                            <w:r>
                              <w:rPr>
                                <w:rFonts w:ascii="Calibri" w:hAnsi="Calibri"/>
                                <w:b/>
                                <w:color w:val="FFFFFF"/>
                                <w:lang w:val="pt-BR"/>
                              </w:rPr>
                              <w:t>iachr</w:t>
                            </w:r>
                            <w:r w:rsidRPr="00365E52">
                              <w:rPr>
                                <w:rFonts w:ascii="Calibri" w:hAnsi="Calibri"/>
                                <w:b/>
                                <w:color w:val="FFFFFF"/>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FDE97D" id="_x0000_s1033" type="#_x0000_t202" style="position:absolute;left:0;text-align:left;margin-left:-18.75pt;margin-top:21.55pt;width:93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" filled="f" stroked="f" strokeweight=".5pt">
                <v:textbox>
                  <w:txbxContent>
                    <w:p w14:paraId="731908E3" w14:textId="5689A424" w:rsidR="009F744D" w:rsidRPr="00365E52" w:rsidRDefault="009F744D" w:rsidP="009F744D">
                      <w:pPr>
                        <w:jc w:val="center"/>
                        <w:rPr>
                          <w:rFonts w:ascii="Calibri" w:hAnsi="Calibri"/>
                          <w:b/>
                          <w:color w:val="FFFFFF"/>
                        </w:rPr>
                      </w:pPr>
                      <w:r w:rsidRPr="00365E52">
                        <w:rPr>
                          <w:rFonts w:ascii="Calibri" w:hAnsi="Calibri"/>
                          <w:b/>
                          <w:color w:val="FFFFFF"/>
                          <w:lang w:val="pt-BR"/>
                        </w:rPr>
                        <w:t>www.</w:t>
                      </w:r>
                      <w:r>
                        <w:rPr>
                          <w:rFonts w:ascii="Calibri" w:hAnsi="Calibri"/>
                          <w:b/>
                          <w:color w:val="FFFFFF"/>
                          <w:lang w:val="pt-BR"/>
                        </w:rPr>
                        <w:t>iachr</w:t>
                      </w:r>
                      <w:r w:rsidRPr="00365E52">
                        <w:rPr>
                          <w:rFonts w:ascii="Calibri" w:hAnsi="Calibri"/>
                          <w:b/>
                          <w:color w:val="FFFFFF"/>
                          <w:lang w:val="pt-BR"/>
                        </w:rPr>
                        <w:t>.org</w:t>
                      </w:r>
                    </w:p>
                  </w:txbxContent>
                </v:textbox>
              </v:shape>
            </w:pict>
          </mc:Fallback>
        </mc:AlternateContent>
      </w:r>
      <w:r w:rsidR="0037742A" w:rsidRPr="0046098E">
        <w:rPr>
          <w:rFonts w:ascii="Cambria" w:hAnsi="Cambria"/>
          <w:b/>
          <w:sz w:val="20"/>
        </w:rPr>
        <w:tab/>
      </w:r>
    </w:p>
    <w:p w14:paraId="5E488791" w14:textId="21AB6849" w:rsidR="0037742A" w:rsidRPr="0046098E" w:rsidRDefault="0037742A" w:rsidP="00B01D4E">
      <w:pPr>
        <w:pStyle w:val="ListParagraph"/>
        <w:numPr>
          <w:ilvl w:val="0"/>
          <w:numId w:val="64"/>
        </w:numPr>
        <w:spacing w:after="0" w:line="240" w:lineRule="auto"/>
        <w:jc w:val="both"/>
        <w:rPr>
          <w:rFonts w:ascii="Cambria" w:hAnsi="Cambria"/>
          <w:b/>
          <w:bCs/>
          <w:sz w:val="20"/>
          <w:szCs w:val="20"/>
        </w:rPr>
      </w:pPr>
      <w:r w:rsidRPr="0046098E">
        <w:rPr>
          <w:rFonts w:ascii="Cambria" w:hAnsi="Cambria"/>
          <w:b/>
          <w:sz w:val="20"/>
        </w:rPr>
        <w:lastRenderedPageBreak/>
        <w:t xml:space="preserve">I. INFORMATION ABOUT THE PETITION </w:t>
      </w:r>
    </w:p>
    <w:p w14:paraId="73F88FA3" w14:textId="77777777" w:rsidR="00B01D4E" w:rsidRPr="00803529" w:rsidRDefault="00B01D4E" w:rsidP="00B01D4E">
      <w:pPr>
        <w:pStyle w:val="ListParagraph"/>
        <w:spacing w:after="0" w:line="240" w:lineRule="auto"/>
        <w:ind w:left="1440"/>
        <w:jc w:val="both"/>
        <w:rPr>
          <w:rFonts w:ascii="Cambria" w:hAnsi="Cambria"/>
          <w:b/>
          <w:bCs/>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37742A" w:rsidRPr="0046098E" w14:paraId="49C21C8E" w14:textId="77777777" w:rsidTr="007F1237">
        <w:tc>
          <w:tcPr>
            <w:tcW w:w="3600" w:type="dxa"/>
            <w:tcBorders>
              <w:top w:val="single" w:sz="4" w:space="0" w:color="auto"/>
            </w:tcBorders>
            <w:shd w:val="clear" w:color="auto" w:fill="73BF43"/>
            <w:vAlign w:val="center"/>
          </w:tcPr>
          <w:p w14:paraId="1F85AF41" w14:textId="77777777" w:rsidR="0037742A" w:rsidRPr="0046098E" w:rsidRDefault="0037742A" w:rsidP="00B01D4E">
            <w:pPr>
              <w:spacing w:after="0" w:line="240" w:lineRule="auto"/>
              <w:jc w:val="center"/>
              <w:rPr>
                <w:rFonts w:ascii="Cambria" w:hAnsi="Cambria"/>
                <w:b/>
                <w:bCs/>
                <w:color w:val="FFFFFF"/>
                <w:sz w:val="20"/>
                <w:szCs w:val="20"/>
              </w:rPr>
            </w:pPr>
            <w:r w:rsidRPr="0046098E">
              <w:rPr>
                <w:rFonts w:ascii="Cambria" w:hAnsi="Cambria"/>
                <w:b/>
                <w:color w:val="FFFFFF"/>
                <w:sz w:val="20"/>
              </w:rPr>
              <w:t>Petitioning party:</w:t>
            </w:r>
          </w:p>
        </w:tc>
        <w:tc>
          <w:tcPr>
            <w:tcW w:w="5760" w:type="dxa"/>
            <w:tcBorders>
              <w:top w:val="single" w:sz="4" w:space="0" w:color="auto"/>
            </w:tcBorders>
            <w:vAlign w:val="center"/>
          </w:tcPr>
          <w:p w14:paraId="66A10177" w14:textId="4E152BAE" w:rsidR="0037742A" w:rsidRPr="0046098E" w:rsidRDefault="0060450C" w:rsidP="00B01D4E">
            <w:pPr>
              <w:spacing w:after="0" w:line="240" w:lineRule="auto"/>
              <w:jc w:val="both"/>
              <w:rPr>
                <w:rFonts w:ascii="Cambria" w:hAnsi="Cambria"/>
                <w:bCs/>
                <w:sz w:val="20"/>
                <w:szCs w:val="20"/>
              </w:rPr>
            </w:pPr>
            <w:r w:rsidRPr="0046098E">
              <w:rPr>
                <w:rFonts w:ascii="Cambria" w:hAnsi="Cambria"/>
                <w:sz w:val="20"/>
              </w:rPr>
              <w:t xml:space="preserve">Melvin Evenor López Herrera  </w:t>
            </w:r>
          </w:p>
        </w:tc>
      </w:tr>
      <w:tr w:rsidR="0037742A" w:rsidRPr="0046098E" w14:paraId="00D07491" w14:textId="77777777" w:rsidTr="007F1237">
        <w:tc>
          <w:tcPr>
            <w:tcW w:w="3600" w:type="dxa"/>
            <w:shd w:val="clear" w:color="auto" w:fill="73BF43"/>
            <w:vAlign w:val="center"/>
          </w:tcPr>
          <w:p w14:paraId="36CE43C3" w14:textId="77777777" w:rsidR="0037742A" w:rsidRPr="0046098E" w:rsidRDefault="0037742A" w:rsidP="00B01D4E">
            <w:pPr>
              <w:spacing w:after="0" w:line="240" w:lineRule="auto"/>
              <w:jc w:val="center"/>
              <w:rPr>
                <w:rFonts w:ascii="Cambria" w:hAnsi="Cambria"/>
                <w:b/>
                <w:bCs/>
                <w:color w:val="FFFFFF"/>
                <w:sz w:val="20"/>
                <w:szCs w:val="20"/>
              </w:rPr>
            </w:pPr>
            <w:r w:rsidRPr="0046098E">
              <w:rPr>
                <w:rFonts w:ascii="Cambria" w:hAnsi="Cambria"/>
                <w:b/>
                <w:color w:val="FFFFFF"/>
                <w:sz w:val="20"/>
              </w:rPr>
              <w:t>Alleged victim:</w:t>
            </w:r>
          </w:p>
        </w:tc>
        <w:tc>
          <w:tcPr>
            <w:tcW w:w="5760" w:type="dxa"/>
            <w:vAlign w:val="center"/>
          </w:tcPr>
          <w:p w14:paraId="220A50F4" w14:textId="0D42C6F8" w:rsidR="0037742A" w:rsidRPr="0046098E" w:rsidRDefault="0060450C" w:rsidP="00B01D4E">
            <w:pPr>
              <w:spacing w:after="0" w:line="240" w:lineRule="auto"/>
              <w:jc w:val="both"/>
              <w:rPr>
                <w:rFonts w:ascii="Cambria" w:hAnsi="Cambria"/>
                <w:bCs/>
                <w:sz w:val="20"/>
                <w:szCs w:val="20"/>
              </w:rPr>
            </w:pPr>
            <w:r w:rsidRPr="0046098E">
              <w:rPr>
                <w:rFonts w:ascii="Cambria" w:hAnsi="Cambria"/>
                <w:sz w:val="20"/>
              </w:rPr>
              <w:t>Manuel Enrique Leiva Oliva</w:t>
            </w:r>
          </w:p>
        </w:tc>
      </w:tr>
      <w:tr w:rsidR="0037742A" w:rsidRPr="0046098E" w14:paraId="6CC40372" w14:textId="77777777" w:rsidTr="007F1237">
        <w:tc>
          <w:tcPr>
            <w:tcW w:w="3600" w:type="dxa"/>
            <w:shd w:val="clear" w:color="auto" w:fill="73BF43"/>
            <w:vAlign w:val="center"/>
          </w:tcPr>
          <w:p w14:paraId="58147C92" w14:textId="77777777" w:rsidR="0037742A" w:rsidRPr="0046098E" w:rsidRDefault="0037742A" w:rsidP="00B01D4E">
            <w:pPr>
              <w:spacing w:after="0" w:line="240" w:lineRule="auto"/>
              <w:jc w:val="center"/>
              <w:rPr>
                <w:rFonts w:ascii="Cambria" w:hAnsi="Cambria"/>
                <w:b/>
                <w:bCs/>
                <w:color w:val="FFFFFF"/>
                <w:sz w:val="20"/>
                <w:szCs w:val="20"/>
              </w:rPr>
            </w:pPr>
            <w:r w:rsidRPr="0046098E">
              <w:rPr>
                <w:rFonts w:ascii="Cambria" w:hAnsi="Cambria"/>
                <w:b/>
                <w:color w:val="FFFFFF"/>
                <w:sz w:val="20"/>
              </w:rPr>
              <w:t>Respondent State:</w:t>
            </w:r>
          </w:p>
        </w:tc>
        <w:tc>
          <w:tcPr>
            <w:tcW w:w="5760" w:type="dxa"/>
            <w:vAlign w:val="center"/>
          </w:tcPr>
          <w:p w14:paraId="24FBD917" w14:textId="622009C6" w:rsidR="0037742A" w:rsidRPr="0046098E" w:rsidRDefault="00053E6D" w:rsidP="00B01D4E">
            <w:pPr>
              <w:spacing w:after="0" w:line="240" w:lineRule="auto"/>
              <w:jc w:val="both"/>
              <w:rPr>
                <w:rFonts w:ascii="Cambria" w:hAnsi="Cambria"/>
                <w:bCs/>
                <w:sz w:val="20"/>
                <w:szCs w:val="20"/>
              </w:rPr>
            </w:pPr>
            <w:r w:rsidRPr="0046098E">
              <w:rPr>
                <w:rFonts w:ascii="Cambria" w:hAnsi="Cambria"/>
                <w:sz w:val="20"/>
              </w:rPr>
              <w:t>Honduras</w:t>
            </w:r>
          </w:p>
        </w:tc>
      </w:tr>
      <w:tr w:rsidR="0037742A" w:rsidRPr="0046098E" w14:paraId="46D170F3" w14:textId="77777777" w:rsidTr="007F1237">
        <w:trPr>
          <w:trHeight w:val="1002"/>
        </w:trPr>
        <w:tc>
          <w:tcPr>
            <w:tcW w:w="3600" w:type="dxa"/>
            <w:tcBorders>
              <w:bottom w:val="single" w:sz="4" w:space="0" w:color="auto"/>
            </w:tcBorders>
            <w:shd w:val="clear" w:color="auto" w:fill="73BF43"/>
            <w:vAlign w:val="center"/>
          </w:tcPr>
          <w:p w14:paraId="36C5202E" w14:textId="77777777" w:rsidR="0037742A" w:rsidRPr="0046098E" w:rsidRDefault="0037742A" w:rsidP="00B01D4E">
            <w:pPr>
              <w:spacing w:after="0" w:line="240" w:lineRule="auto"/>
              <w:jc w:val="center"/>
              <w:rPr>
                <w:rFonts w:ascii="Cambria" w:hAnsi="Cambria"/>
                <w:b/>
                <w:bCs/>
                <w:color w:val="FFFFFF"/>
                <w:sz w:val="20"/>
                <w:szCs w:val="20"/>
              </w:rPr>
            </w:pPr>
            <w:r w:rsidRPr="0046098E">
              <w:rPr>
                <w:rFonts w:ascii="Cambria" w:hAnsi="Cambria"/>
                <w:b/>
                <w:color w:val="FFFFFF"/>
                <w:sz w:val="20"/>
              </w:rPr>
              <w:t>Rights invoked:</w:t>
            </w:r>
          </w:p>
        </w:tc>
        <w:tc>
          <w:tcPr>
            <w:tcW w:w="5760" w:type="dxa"/>
            <w:tcBorders>
              <w:bottom w:val="single" w:sz="4" w:space="0" w:color="auto"/>
            </w:tcBorders>
            <w:vAlign w:val="center"/>
          </w:tcPr>
          <w:p w14:paraId="4370509D" w14:textId="0F3FD2E8" w:rsidR="0037742A" w:rsidRPr="0046098E" w:rsidRDefault="0037742A" w:rsidP="00B01D4E">
            <w:pPr>
              <w:autoSpaceDE w:val="0"/>
              <w:autoSpaceDN w:val="0"/>
              <w:adjustRightInd w:val="0"/>
              <w:spacing w:after="0" w:line="240" w:lineRule="auto"/>
              <w:jc w:val="both"/>
              <w:rPr>
                <w:rFonts w:ascii="Cambria" w:hAnsi="Cambria" w:cs="Cambria"/>
                <w:sz w:val="20"/>
                <w:szCs w:val="20"/>
              </w:rPr>
            </w:pPr>
            <w:r w:rsidRPr="0046098E">
              <w:rPr>
                <w:rFonts w:ascii="Cambria" w:hAnsi="Cambria"/>
                <w:sz w:val="20"/>
              </w:rPr>
              <w:t>Article 25 (judicial protection) of the American Convention on Human Rights</w:t>
            </w:r>
            <w:r w:rsidRPr="0046098E">
              <w:rPr>
                <w:rStyle w:val="FootnoteReference"/>
                <w:rFonts w:ascii="Cambria" w:hAnsi="Cambria"/>
                <w:bCs/>
                <w:sz w:val="20"/>
                <w:szCs w:val="20"/>
                <w:lang w:val="es-VE"/>
              </w:rPr>
              <w:footnoteReference w:id="2"/>
            </w:r>
            <w:r w:rsidRPr="0046098E">
              <w:rPr>
                <w:rFonts w:ascii="Cambria" w:hAnsi="Cambria"/>
                <w:sz w:val="20"/>
              </w:rPr>
              <w:t>; Articles 6 (labor) and 7 (just, equitable, and satisfactory conditions of work) of the Additional Protocol to the American Convention on Human Rights in the Area of Economic, Social and Cultural Rights ("Protocol of San Salvador"); and other international instruments</w:t>
            </w:r>
            <w:r w:rsidR="00E755D9" w:rsidRPr="0046098E">
              <w:rPr>
                <w:rStyle w:val="FootnoteReference"/>
                <w:rFonts w:ascii="Cambria" w:hAnsi="Cambria"/>
                <w:bCs/>
                <w:sz w:val="20"/>
                <w:szCs w:val="20"/>
                <w:lang w:val="es-VE"/>
              </w:rPr>
              <w:footnoteReference w:id="3"/>
            </w:r>
          </w:p>
        </w:tc>
      </w:tr>
    </w:tbl>
    <w:p w14:paraId="36FD7898" w14:textId="77777777" w:rsidR="00B01D4E" w:rsidRPr="0046098E" w:rsidRDefault="00B01D4E" w:rsidP="00B01D4E">
      <w:pPr>
        <w:spacing w:after="0" w:line="240" w:lineRule="auto"/>
        <w:ind w:firstLine="720"/>
        <w:jc w:val="both"/>
        <w:rPr>
          <w:rFonts w:ascii="Cambria" w:hAnsi="Cambria"/>
          <w:b/>
          <w:bCs/>
          <w:sz w:val="20"/>
          <w:szCs w:val="20"/>
        </w:rPr>
      </w:pPr>
    </w:p>
    <w:p w14:paraId="6BE6F2EA" w14:textId="2C59F3B2" w:rsidR="0037742A" w:rsidRPr="0046098E" w:rsidRDefault="0037742A" w:rsidP="00B01D4E">
      <w:pPr>
        <w:pStyle w:val="ListParagraph"/>
        <w:numPr>
          <w:ilvl w:val="0"/>
          <w:numId w:val="64"/>
        </w:numPr>
        <w:spacing w:after="0" w:line="240" w:lineRule="auto"/>
        <w:jc w:val="both"/>
        <w:rPr>
          <w:rFonts w:ascii="Cambria" w:hAnsi="Cambria"/>
          <w:b/>
          <w:bCs/>
          <w:sz w:val="20"/>
          <w:szCs w:val="20"/>
        </w:rPr>
      </w:pPr>
      <w:r w:rsidRPr="0046098E">
        <w:rPr>
          <w:rFonts w:ascii="Cambria" w:hAnsi="Cambria"/>
          <w:b/>
          <w:sz w:val="20"/>
        </w:rPr>
        <w:t>PROCESSING BY THE IACHR</w:t>
      </w:r>
      <w:r w:rsidRPr="0046098E">
        <w:rPr>
          <w:rStyle w:val="FootnoteReference"/>
          <w:rFonts w:ascii="Cambria" w:hAnsi="Cambria"/>
          <w:bCs/>
          <w:sz w:val="20"/>
          <w:szCs w:val="20"/>
        </w:rPr>
        <w:footnoteReference w:id="4"/>
      </w:r>
    </w:p>
    <w:p w14:paraId="60FEDC65" w14:textId="56F5C5A7" w:rsidR="00B01D4E" w:rsidRPr="0046098E" w:rsidRDefault="00B01D4E" w:rsidP="00B01D4E">
      <w:pPr>
        <w:spacing w:after="0" w:line="240" w:lineRule="auto"/>
        <w:ind w:left="720"/>
        <w:jc w:val="both"/>
        <w:rPr>
          <w:rFonts w:ascii="Cambria" w:hAnsi="Cambria"/>
          <w:b/>
          <w:bCs/>
          <w:sz w:val="20"/>
          <w:szCs w:val="2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37742A" w:rsidRPr="0046098E" w14:paraId="48622CAF" w14:textId="77777777" w:rsidTr="007F1237">
        <w:tc>
          <w:tcPr>
            <w:tcW w:w="3600" w:type="dxa"/>
            <w:tcBorders>
              <w:top w:val="single" w:sz="4" w:space="0" w:color="auto"/>
            </w:tcBorders>
            <w:shd w:val="clear" w:color="auto" w:fill="73BF43"/>
            <w:vAlign w:val="center"/>
          </w:tcPr>
          <w:p w14:paraId="1601F6A4" w14:textId="77777777" w:rsidR="0037742A" w:rsidRPr="0046098E" w:rsidRDefault="0037742A" w:rsidP="00B01D4E">
            <w:pPr>
              <w:spacing w:after="0" w:line="240" w:lineRule="auto"/>
              <w:jc w:val="center"/>
              <w:rPr>
                <w:rFonts w:ascii="Cambria" w:hAnsi="Cambria"/>
                <w:b/>
                <w:bCs/>
                <w:color w:val="FFFFFF"/>
                <w:sz w:val="20"/>
                <w:szCs w:val="20"/>
              </w:rPr>
            </w:pPr>
            <w:r w:rsidRPr="0046098E">
              <w:rPr>
                <w:rFonts w:ascii="Cambria" w:hAnsi="Cambria"/>
                <w:b/>
                <w:color w:val="FFFFFF"/>
                <w:sz w:val="20"/>
              </w:rPr>
              <w:t>Filing of the petition:</w:t>
            </w:r>
          </w:p>
        </w:tc>
        <w:tc>
          <w:tcPr>
            <w:tcW w:w="5760" w:type="dxa"/>
            <w:tcBorders>
              <w:top w:val="single" w:sz="4" w:space="0" w:color="auto"/>
            </w:tcBorders>
            <w:vAlign w:val="center"/>
          </w:tcPr>
          <w:p w14:paraId="645FC053" w14:textId="6E5C3DA6" w:rsidR="0037742A" w:rsidRPr="0046098E" w:rsidRDefault="0060450C" w:rsidP="00B01D4E">
            <w:pPr>
              <w:spacing w:after="0" w:line="240" w:lineRule="auto"/>
              <w:jc w:val="both"/>
              <w:rPr>
                <w:rFonts w:ascii="Cambria" w:hAnsi="Cambria"/>
                <w:bCs/>
                <w:sz w:val="20"/>
                <w:szCs w:val="20"/>
              </w:rPr>
            </w:pPr>
            <w:r w:rsidRPr="0046098E">
              <w:rPr>
                <w:rFonts w:ascii="Cambria" w:hAnsi="Cambria"/>
                <w:sz w:val="20"/>
              </w:rPr>
              <w:t>March 7, 2014</w:t>
            </w:r>
          </w:p>
        </w:tc>
      </w:tr>
      <w:tr w:rsidR="007C1D55" w:rsidRPr="0046098E" w14:paraId="7344EB70" w14:textId="77777777" w:rsidTr="007F1237">
        <w:tc>
          <w:tcPr>
            <w:tcW w:w="3600" w:type="dxa"/>
            <w:shd w:val="clear" w:color="auto" w:fill="73BF43"/>
            <w:vAlign w:val="center"/>
          </w:tcPr>
          <w:p w14:paraId="79590B10" w14:textId="77777777" w:rsidR="007C1D55" w:rsidRPr="0046098E" w:rsidRDefault="007C1D55" w:rsidP="00B01D4E">
            <w:pPr>
              <w:spacing w:after="0" w:line="240" w:lineRule="auto"/>
              <w:jc w:val="center"/>
              <w:rPr>
                <w:rFonts w:ascii="Cambria" w:hAnsi="Cambria"/>
                <w:b/>
                <w:bCs/>
                <w:color w:val="FFFFFF"/>
                <w:sz w:val="20"/>
                <w:szCs w:val="20"/>
              </w:rPr>
            </w:pPr>
            <w:r w:rsidRPr="0046098E">
              <w:rPr>
                <w:rFonts w:ascii="Cambria" w:hAnsi="Cambria"/>
                <w:b/>
                <w:color w:val="FFFFFF"/>
                <w:sz w:val="20"/>
              </w:rPr>
              <w:t>Additional information received during the initial review stage:</w:t>
            </w:r>
          </w:p>
        </w:tc>
        <w:tc>
          <w:tcPr>
            <w:tcW w:w="5760" w:type="dxa"/>
            <w:vAlign w:val="center"/>
          </w:tcPr>
          <w:p w14:paraId="680A6EAE" w14:textId="7C144FAC" w:rsidR="007C1D55" w:rsidRPr="0046098E" w:rsidRDefault="00B74887" w:rsidP="00B01D4E">
            <w:pPr>
              <w:spacing w:after="0" w:line="240" w:lineRule="auto"/>
              <w:rPr>
                <w:rFonts w:ascii="Cambria" w:hAnsi="Cambria"/>
                <w:bCs/>
                <w:sz w:val="20"/>
                <w:szCs w:val="20"/>
              </w:rPr>
            </w:pPr>
            <w:r w:rsidRPr="0046098E">
              <w:rPr>
                <w:rFonts w:ascii="Cambria" w:hAnsi="Cambria"/>
                <w:sz w:val="20"/>
              </w:rPr>
              <w:t>March 19, 2014; July 6, 2015; August 12, 17, 22, and 23: December 2 and 21, 2016; and February 10, June 5, July 5, and November 21, 2017; December 21, 2018; and March 1 and 7, 2019</w:t>
            </w:r>
          </w:p>
        </w:tc>
      </w:tr>
      <w:tr w:rsidR="007C1D55" w:rsidRPr="0046098E" w14:paraId="1907A94F" w14:textId="77777777" w:rsidTr="007F1237">
        <w:tc>
          <w:tcPr>
            <w:tcW w:w="3600" w:type="dxa"/>
            <w:shd w:val="clear" w:color="auto" w:fill="73BF43"/>
            <w:vAlign w:val="center"/>
          </w:tcPr>
          <w:p w14:paraId="36092CE9" w14:textId="77777777" w:rsidR="007C1D55" w:rsidRPr="0046098E" w:rsidRDefault="007C1D55" w:rsidP="00B01D4E">
            <w:pPr>
              <w:spacing w:after="0" w:line="240" w:lineRule="auto"/>
              <w:jc w:val="center"/>
              <w:rPr>
                <w:rFonts w:ascii="Cambria" w:hAnsi="Cambria"/>
                <w:b/>
                <w:bCs/>
                <w:color w:val="FFFFFF"/>
                <w:sz w:val="20"/>
                <w:szCs w:val="20"/>
              </w:rPr>
            </w:pPr>
            <w:r w:rsidRPr="0046098E">
              <w:rPr>
                <w:rFonts w:ascii="Cambria" w:hAnsi="Cambria"/>
                <w:b/>
                <w:color w:val="FFFFFF"/>
                <w:sz w:val="20"/>
              </w:rPr>
              <w:t>Notification of the petition</w:t>
            </w:r>
          </w:p>
        </w:tc>
        <w:tc>
          <w:tcPr>
            <w:tcW w:w="5760" w:type="dxa"/>
            <w:vAlign w:val="center"/>
          </w:tcPr>
          <w:p w14:paraId="190CBEFD" w14:textId="4104DBFA" w:rsidR="007C1D55" w:rsidRPr="0046098E" w:rsidRDefault="00B74887" w:rsidP="00B01D4E">
            <w:pPr>
              <w:spacing w:after="0" w:line="240" w:lineRule="auto"/>
              <w:jc w:val="both"/>
              <w:rPr>
                <w:rFonts w:ascii="Cambria" w:hAnsi="Cambria"/>
                <w:bCs/>
                <w:sz w:val="20"/>
                <w:szCs w:val="20"/>
              </w:rPr>
            </w:pPr>
            <w:r w:rsidRPr="0046098E">
              <w:rPr>
                <w:rFonts w:ascii="Cambria" w:hAnsi="Cambria"/>
                <w:sz w:val="20"/>
              </w:rPr>
              <w:t>March 18, 2019</w:t>
            </w:r>
          </w:p>
        </w:tc>
      </w:tr>
      <w:tr w:rsidR="007C1D55" w:rsidRPr="0046098E" w14:paraId="1E1E848E" w14:textId="77777777" w:rsidTr="007F1237">
        <w:tc>
          <w:tcPr>
            <w:tcW w:w="3600" w:type="dxa"/>
            <w:shd w:val="clear" w:color="auto" w:fill="73BF43"/>
            <w:vAlign w:val="center"/>
          </w:tcPr>
          <w:p w14:paraId="55F6F46B" w14:textId="77777777" w:rsidR="007C1D55" w:rsidRPr="0046098E" w:rsidRDefault="007C1D55" w:rsidP="00B01D4E">
            <w:pPr>
              <w:spacing w:after="0" w:line="240" w:lineRule="auto"/>
              <w:jc w:val="center"/>
              <w:rPr>
                <w:rFonts w:ascii="Cambria" w:hAnsi="Cambria"/>
                <w:b/>
                <w:bCs/>
                <w:color w:val="FFFFFF"/>
                <w:sz w:val="20"/>
                <w:szCs w:val="20"/>
              </w:rPr>
            </w:pPr>
            <w:r w:rsidRPr="0046098E">
              <w:rPr>
                <w:rFonts w:ascii="Cambria" w:hAnsi="Cambria"/>
                <w:b/>
                <w:color w:val="FFFFFF"/>
                <w:sz w:val="20"/>
              </w:rPr>
              <w:t>State's first response:</w:t>
            </w:r>
          </w:p>
        </w:tc>
        <w:tc>
          <w:tcPr>
            <w:tcW w:w="5760" w:type="dxa"/>
            <w:vAlign w:val="center"/>
          </w:tcPr>
          <w:p w14:paraId="7E0B99F7" w14:textId="543983DC" w:rsidR="007C1D55" w:rsidRPr="0046098E" w:rsidRDefault="004C3DAE" w:rsidP="00B01D4E">
            <w:pPr>
              <w:spacing w:after="0" w:line="240" w:lineRule="auto"/>
              <w:jc w:val="both"/>
              <w:rPr>
                <w:rFonts w:ascii="Cambria" w:hAnsi="Cambria"/>
                <w:bCs/>
                <w:sz w:val="20"/>
                <w:szCs w:val="20"/>
              </w:rPr>
            </w:pPr>
            <w:r w:rsidRPr="0046098E">
              <w:rPr>
                <w:rFonts w:ascii="Cambria" w:hAnsi="Cambria"/>
                <w:sz w:val="20"/>
              </w:rPr>
              <w:t>September 26, 2019</w:t>
            </w:r>
          </w:p>
        </w:tc>
      </w:tr>
      <w:tr w:rsidR="007C1D55" w:rsidRPr="0046098E" w14:paraId="026F2303" w14:textId="77777777" w:rsidTr="007F1237">
        <w:tc>
          <w:tcPr>
            <w:tcW w:w="3600" w:type="dxa"/>
            <w:shd w:val="clear" w:color="auto" w:fill="73BF43"/>
            <w:vAlign w:val="center"/>
          </w:tcPr>
          <w:p w14:paraId="13CFFDC0" w14:textId="77777777" w:rsidR="007C1D55" w:rsidRPr="0046098E" w:rsidRDefault="007C1D55" w:rsidP="00B01D4E">
            <w:pPr>
              <w:spacing w:after="0" w:line="240" w:lineRule="auto"/>
              <w:jc w:val="center"/>
              <w:rPr>
                <w:rFonts w:ascii="Cambria" w:hAnsi="Cambria"/>
                <w:b/>
                <w:bCs/>
                <w:color w:val="FFFFFF"/>
                <w:sz w:val="20"/>
                <w:szCs w:val="20"/>
              </w:rPr>
            </w:pPr>
            <w:r w:rsidRPr="0046098E">
              <w:rPr>
                <w:rFonts w:ascii="Cambria" w:hAnsi="Cambria"/>
                <w:b/>
                <w:color w:val="FFFFFF"/>
                <w:sz w:val="20"/>
              </w:rPr>
              <w:t>Additional observations from the petitioner:</w:t>
            </w:r>
          </w:p>
        </w:tc>
        <w:tc>
          <w:tcPr>
            <w:tcW w:w="5760" w:type="dxa"/>
            <w:vAlign w:val="center"/>
          </w:tcPr>
          <w:p w14:paraId="2D467123" w14:textId="3B336E4B" w:rsidR="007C1D55" w:rsidRPr="0046098E" w:rsidRDefault="00B74887" w:rsidP="00B01D4E">
            <w:pPr>
              <w:spacing w:after="0" w:line="240" w:lineRule="auto"/>
              <w:jc w:val="both"/>
              <w:rPr>
                <w:rFonts w:ascii="Cambria" w:hAnsi="Cambria"/>
                <w:bCs/>
                <w:sz w:val="20"/>
                <w:szCs w:val="20"/>
              </w:rPr>
            </w:pPr>
            <w:r w:rsidRPr="0046098E">
              <w:rPr>
                <w:rFonts w:ascii="Cambria" w:hAnsi="Cambria"/>
                <w:sz w:val="20"/>
              </w:rPr>
              <w:t>May 17, 2019, October 13, 2020, and June 25, 2021</w:t>
            </w:r>
          </w:p>
        </w:tc>
      </w:tr>
      <w:tr w:rsidR="007C1D55" w:rsidRPr="0046098E" w14:paraId="1735E165" w14:textId="77777777" w:rsidTr="007F1237">
        <w:tc>
          <w:tcPr>
            <w:tcW w:w="3600" w:type="dxa"/>
            <w:shd w:val="clear" w:color="auto" w:fill="73BF43"/>
            <w:vAlign w:val="center"/>
          </w:tcPr>
          <w:p w14:paraId="238AC7DB" w14:textId="73A1D51A" w:rsidR="007C1D55" w:rsidRPr="0046098E" w:rsidRDefault="0082588E" w:rsidP="00B01D4E">
            <w:pPr>
              <w:spacing w:after="0" w:line="240" w:lineRule="auto"/>
              <w:jc w:val="center"/>
              <w:rPr>
                <w:rFonts w:ascii="Cambria" w:hAnsi="Cambria"/>
                <w:b/>
                <w:bCs/>
                <w:color w:val="FFFFFF"/>
                <w:sz w:val="20"/>
                <w:szCs w:val="20"/>
              </w:rPr>
            </w:pPr>
            <w:r w:rsidRPr="0046098E">
              <w:rPr>
                <w:rFonts w:ascii="Cambria" w:hAnsi="Cambria"/>
                <w:b/>
                <w:color w:val="FFFFFF" w:themeColor="background1"/>
                <w:sz w:val="20"/>
              </w:rPr>
              <w:t>Additional observations from the State:</w:t>
            </w:r>
          </w:p>
        </w:tc>
        <w:tc>
          <w:tcPr>
            <w:tcW w:w="5760" w:type="dxa"/>
            <w:vAlign w:val="center"/>
          </w:tcPr>
          <w:p w14:paraId="1E21F161" w14:textId="2A85BCAF" w:rsidR="007C1D55" w:rsidRPr="0046098E" w:rsidRDefault="004C3DAE" w:rsidP="00B01D4E">
            <w:pPr>
              <w:spacing w:after="0" w:line="240" w:lineRule="auto"/>
              <w:jc w:val="both"/>
              <w:rPr>
                <w:rFonts w:ascii="Cambria" w:hAnsi="Cambria"/>
                <w:bCs/>
                <w:sz w:val="20"/>
                <w:szCs w:val="20"/>
              </w:rPr>
            </w:pPr>
            <w:r w:rsidRPr="0046098E">
              <w:rPr>
                <w:rFonts w:ascii="Cambria" w:hAnsi="Cambria"/>
                <w:sz w:val="20"/>
              </w:rPr>
              <w:t>March 19, 2021</w:t>
            </w:r>
          </w:p>
        </w:tc>
      </w:tr>
    </w:tbl>
    <w:p w14:paraId="4003F774" w14:textId="77777777" w:rsidR="0037742A" w:rsidRPr="0046098E" w:rsidRDefault="0037742A" w:rsidP="00B01D4E">
      <w:pPr>
        <w:spacing w:after="0" w:line="240" w:lineRule="auto"/>
        <w:ind w:firstLine="720"/>
        <w:jc w:val="both"/>
        <w:rPr>
          <w:rFonts w:ascii="Cambria" w:hAnsi="Cambria"/>
          <w:b/>
          <w:bCs/>
          <w:sz w:val="20"/>
          <w:szCs w:val="20"/>
        </w:rPr>
      </w:pPr>
      <w:r w:rsidRPr="0046098E">
        <w:rPr>
          <w:rFonts w:ascii="Cambria" w:hAnsi="Cambria"/>
          <w:b/>
          <w:sz w:val="20"/>
        </w:rPr>
        <w:t xml:space="preserve">III.  </w:t>
      </w:r>
      <w:r w:rsidRPr="0046098E">
        <w:rPr>
          <w:rFonts w:ascii="Cambria" w:hAnsi="Cambria"/>
          <w:b/>
          <w:sz w:val="20"/>
        </w:rPr>
        <w:tab/>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37742A" w:rsidRPr="0046098E" w14:paraId="5CBEB33A" w14:textId="77777777" w:rsidTr="007F1237">
        <w:trPr>
          <w:cantSplit/>
        </w:trPr>
        <w:tc>
          <w:tcPr>
            <w:tcW w:w="3600" w:type="dxa"/>
            <w:tcBorders>
              <w:top w:val="single" w:sz="4" w:space="0" w:color="auto"/>
            </w:tcBorders>
            <w:shd w:val="clear" w:color="auto" w:fill="73BF43"/>
            <w:vAlign w:val="center"/>
          </w:tcPr>
          <w:p w14:paraId="7338FAF3" w14:textId="77777777" w:rsidR="0037742A" w:rsidRPr="0046098E" w:rsidRDefault="0037742A" w:rsidP="00B01D4E">
            <w:pPr>
              <w:spacing w:after="0" w:line="240" w:lineRule="auto"/>
              <w:jc w:val="center"/>
              <w:rPr>
                <w:rFonts w:ascii="Cambria" w:hAnsi="Cambria"/>
                <w:b/>
                <w:bCs/>
                <w:i/>
                <w:color w:val="FFFFFF"/>
                <w:sz w:val="20"/>
                <w:szCs w:val="20"/>
              </w:rPr>
            </w:pPr>
            <w:r w:rsidRPr="0046098E">
              <w:rPr>
                <w:rFonts w:ascii="Cambria" w:hAnsi="Cambria"/>
                <w:b/>
                <w:color w:val="FFFFFF"/>
                <w:sz w:val="20"/>
              </w:rPr>
              <w:t xml:space="preserve">Competence </w:t>
            </w:r>
            <w:r w:rsidRPr="0046098E">
              <w:rPr>
                <w:rFonts w:ascii="Cambria" w:hAnsi="Cambria"/>
                <w:b/>
                <w:i/>
                <w:color w:val="FFFFFF"/>
                <w:sz w:val="20"/>
              </w:rPr>
              <w:t>Ratione personae</w:t>
            </w:r>
            <w:r w:rsidRPr="0046098E">
              <w:rPr>
                <w:rFonts w:ascii="Cambria" w:hAnsi="Cambria"/>
                <w:b/>
                <w:color w:val="FFFFFF"/>
                <w:sz w:val="20"/>
              </w:rPr>
              <w:t>:</w:t>
            </w:r>
          </w:p>
        </w:tc>
        <w:tc>
          <w:tcPr>
            <w:tcW w:w="5760" w:type="dxa"/>
            <w:tcBorders>
              <w:top w:val="single" w:sz="4" w:space="0" w:color="auto"/>
            </w:tcBorders>
            <w:vAlign w:val="center"/>
          </w:tcPr>
          <w:p w14:paraId="6C002600" w14:textId="77777777" w:rsidR="0037742A" w:rsidRPr="0046098E" w:rsidRDefault="0037742A" w:rsidP="00B01D4E">
            <w:pPr>
              <w:spacing w:after="0" w:line="240" w:lineRule="auto"/>
              <w:rPr>
                <w:rFonts w:ascii="Cambria" w:hAnsi="Cambria"/>
                <w:bCs/>
                <w:sz w:val="20"/>
                <w:szCs w:val="20"/>
              </w:rPr>
            </w:pPr>
            <w:r w:rsidRPr="0046098E">
              <w:rPr>
                <w:rFonts w:ascii="Cambria" w:hAnsi="Cambria"/>
                <w:sz w:val="20"/>
              </w:rPr>
              <w:t>Yes</w:t>
            </w:r>
          </w:p>
        </w:tc>
      </w:tr>
      <w:tr w:rsidR="0037742A" w:rsidRPr="0046098E" w14:paraId="66D18382" w14:textId="77777777" w:rsidTr="007F1237">
        <w:trPr>
          <w:cantSplit/>
        </w:trPr>
        <w:tc>
          <w:tcPr>
            <w:tcW w:w="3600" w:type="dxa"/>
            <w:shd w:val="clear" w:color="auto" w:fill="73BF43"/>
            <w:vAlign w:val="center"/>
          </w:tcPr>
          <w:p w14:paraId="1AEEA133" w14:textId="77777777" w:rsidR="0037742A" w:rsidRPr="0046098E" w:rsidRDefault="0037742A" w:rsidP="00B01D4E">
            <w:pPr>
              <w:spacing w:after="0" w:line="240" w:lineRule="auto"/>
              <w:jc w:val="center"/>
              <w:rPr>
                <w:rFonts w:ascii="Cambria" w:hAnsi="Cambria"/>
                <w:b/>
                <w:bCs/>
                <w:color w:val="FFFFFF"/>
                <w:sz w:val="20"/>
                <w:szCs w:val="20"/>
              </w:rPr>
            </w:pPr>
            <w:r w:rsidRPr="0046098E">
              <w:rPr>
                <w:rFonts w:ascii="Cambria" w:hAnsi="Cambria"/>
                <w:b/>
                <w:color w:val="FFFFFF"/>
                <w:sz w:val="20"/>
              </w:rPr>
              <w:t xml:space="preserve">Competence </w:t>
            </w:r>
            <w:r w:rsidRPr="0046098E">
              <w:rPr>
                <w:rFonts w:ascii="Cambria" w:hAnsi="Cambria"/>
                <w:b/>
                <w:i/>
                <w:color w:val="FFFFFF"/>
                <w:sz w:val="20"/>
              </w:rPr>
              <w:t>Ratione loci</w:t>
            </w:r>
            <w:r w:rsidRPr="0046098E">
              <w:rPr>
                <w:rFonts w:ascii="Cambria" w:hAnsi="Cambria"/>
                <w:b/>
                <w:color w:val="FFFFFF"/>
                <w:sz w:val="20"/>
              </w:rPr>
              <w:t>:</w:t>
            </w:r>
          </w:p>
        </w:tc>
        <w:tc>
          <w:tcPr>
            <w:tcW w:w="5760" w:type="dxa"/>
            <w:vAlign w:val="center"/>
          </w:tcPr>
          <w:p w14:paraId="4FAACEEF" w14:textId="77777777" w:rsidR="0037742A" w:rsidRPr="0046098E" w:rsidRDefault="0037742A" w:rsidP="00B01D4E">
            <w:pPr>
              <w:spacing w:after="0" w:line="240" w:lineRule="auto"/>
              <w:rPr>
                <w:rFonts w:ascii="Cambria" w:hAnsi="Cambria"/>
                <w:bCs/>
                <w:sz w:val="20"/>
                <w:szCs w:val="20"/>
              </w:rPr>
            </w:pPr>
            <w:r w:rsidRPr="0046098E">
              <w:rPr>
                <w:rFonts w:ascii="Cambria" w:hAnsi="Cambria"/>
                <w:sz w:val="20"/>
              </w:rPr>
              <w:t>Yes</w:t>
            </w:r>
          </w:p>
        </w:tc>
      </w:tr>
      <w:tr w:rsidR="0037742A" w:rsidRPr="0046098E" w14:paraId="063B76A1" w14:textId="77777777" w:rsidTr="007F1237">
        <w:trPr>
          <w:cantSplit/>
        </w:trPr>
        <w:tc>
          <w:tcPr>
            <w:tcW w:w="3600" w:type="dxa"/>
            <w:shd w:val="clear" w:color="auto" w:fill="73BF43"/>
            <w:vAlign w:val="center"/>
          </w:tcPr>
          <w:p w14:paraId="0EAF0685" w14:textId="77777777" w:rsidR="0037742A" w:rsidRPr="0046098E" w:rsidRDefault="0037742A" w:rsidP="00B01D4E">
            <w:pPr>
              <w:spacing w:after="0" w:line="240" w:lineRule="auto"/>
              <w:jc w:val="center"/>
              <w:rPr>
                <w:rFonts w:ascii="Cambria" w:hAnsi="Cambria"/>
                <w:b/>
                <w:bCs/>
                <w:color w:val="FFFFFF"/>
                <w:sz w:val="20"/>
                <w:szCs w:val="20"/>
              </w:rPr>
            </w:pPr>
            <w:r w:rsidRPr="0046098E">
              <w:rPr>
                <w:rFonts w:ascii="Cambria" w:hAnsi="Cambria"/>
                <w:b/>
                <w:color w:val="FFFFFF"/>
                <w:sz w:val="20"/>
              </w:rPr>
              <w:t xml:space="preserve">Competence </w:t>
            </w:r>
            <w:r w:rsidRPr="0046098E">
              <w:rPr>
                <w:rFonts w:ascii="Cambria" w:hAnsi="Cambria"/>
                <w:b/>
                <w:i/>
                <w:color w:val="FFFFFF"/>
                <w:sz w:val="20"/>
              </w:rPr>
              <w:t>Ratione temporis:</w:t>
            </w:r>
          </w:p>
        </w:tc>
        <w:tc>
          <w:tcPr>
            <w:tcW w:w="5760" w:type="dxa"/>
            <w:vAlign w:val="center"/>
          </w:tcPr>
          <w:p w14:paraId="6B99CC31" w14:textId="50E94CF1" w:rsidR="0037742A" w:rsidRPr="0046098E" w:rsidRDefault="0037742A" w:rsidP="00B01D4E">
            <w:pPr>
              <w:spacing w:after="0" w:line="240" w:lineRule="auto"/>
              <w:rPr>
                <w:rFonts w:ascii="Cambria" w:hAnsi="Cambria"/>
                <w:bCs/>
                <w:sz w:val="20"/>
                <w:szCs w:val="20"/>
              </w:rPr>
            </w:pPr>
            <w:r w:rsidRPr="0046098E">
              <w:rPr>
                <w:rFonts w:ascii="Cambria" w:hAnsi="Cambria"/>
                <w:sz w:val="20"/>
              </w:rPr>
              <w:t>Yes</w:t>
            </w:r>
          </w:p>
        </w:tc>
      </w:tr>
      <w:tr w:rsidR="0037742A" w:rsidRPr="0046098E" w14:paraId="60C6127F" w14:textId="77777777" w:rsidTr="007F1237">
        <w:trPr>
          <w:cantSplit/>
        </w:trPr>
        <w:tc>
          <w:tcPr>
            <w:tcW w:w="3600" w:type="dxa"/>
            <w:tcBorders>
              <w:bottom w:val="single" w:sz="4" w:space="0" w:color="auto"/>
            </w:tcBorders>
            <w:shd w:val="clear" w:color="auto" w:fill="73BF43"/>
            <w:vAlign w:val="center"/>
          </w:tcPr>
          <w:p w14:paraId="3242B7A9" w14:textId="77777777" w:rsidR="0037742A" w:rsidRPr="0046098E" w:rsidRDefault="0037742A" w:rsidP="00365E52">
            <w:pPr>
              <w:jc w:val="center"/>
              <w:rPr>
                <w:rFonts w:ascii="Cambria" w:hAnsi="Cambria"/>
                <w:b/>
                <w:bCs/>
                <w:color w:val="FFFFFF"/>
                <w:sz w:val="20"/>
                <w:szCs w:val="20"/>
              </w:rPr>
            </w:pPr>
            <w:r w:rsidRPr="0046098E">
              <w:rPr>
                <w:rFonts w:ascii="Cambria" w:hAnsi="Cambria"/>
                <w:b/>
                <w:color w:val="FFFFFF"/>
                <w:sz w:val="20"/>
              </w:rPr>
              <w:t>Competence Ratione materiae:</w:t>
            </w:r>
          </w:p>
        </w:tc>
        <w:tc>
          <w:tcPr>
            <w:tcW w:w="5760" w:type="dxa"/>
            <w:tcBorders>
              <w:bottom w:val="single" w:sz="4" w:space="0" w:color="auto"/>
            </w:tcBorders>
            <w:vAlign w:val="center"/>
          </w:tcPr>
          <w:p w14:paraId="448C9893" w14:textId="3528C069" w:rsidR="0037742A" w:rsidRPr="0046098E" w:rsidRDefault="0037742A" w:rsidP="004C3DAE">
            <w:pPr>
              <w:pStyle w:val="Default"/>
              <w:jc w:val="both"/>
              <w:rPr>
                <w:rFonts w:ascii="Cambria" w:hAnsi="Cambria"/>
                <w:sz w:val="20"/>
                <w:szCs w:val="20"/>
              </w:rPr>
            </w:pPr>
            <w:r w:rsidRPr="0046098E">
              <w:rPr>
                <w:rFonts w:ascii="Cambria" w:hAnsi="Cambria"/>
                <w:sz w:val="20"/>
              </w:rPr>
              <w:t>Yes, American Convention (instrument of ratification deposited on September 8, 1977)</w:t>
            </w:r>
          </w:p>
        </w:tc>
      </w:tr>
    </w:tbl>
    <w:p w14:paraId="29C07CD6" w14:textId="2BAD0BA7" w:rsidR="0037742A" w:rsidRPr="0046098E" w:rsidRDefault="0037742A" w:rsidP="00E20A73">
      <w:pPr>
        <w:spacing w:before="240" w:after="240"/>
        <w:ind w:left="1440" w:hanging="720"/>
        <w:jc w:val="both"/>
        <w:rPr>
          <w:rFonts w:ascii="Cambria" w:hAnsi="Cambria"/>
          <w:b/>
          <w:bCs/>
          <w:sz w:val="20"/>
          <w:szCs w:val="20"/>
        </w:rPr>
      </w:pPr>
      <w:r w:rsidRPr="0046098E">
        <w:rPr>
          <w:rFonts w:ascii="Cambria" w:hAnsi="Cambria"/>
          <w:b/>
          <w:sz w:val="20"/>
        </w:rPr>
        <w:t xml:space="preserve">IV. </w:t>
      </w:r>
      <w:r w:rsidRPr="0046098E">
        <w:rPr>
          <w:rFonts w:ascii="Cambria" w:hAnsi="Cambria"/>
          <w:b/>
          <w:sz w:val="20"/>
        </w:rPr>
        <w:tab/>
        <w:t>DUPLICATION</w:t>
      </w:r>
      <w:r w:rsidRPr="0046098E">
        <w:rPr>
          <w:rFonts w:ascii="Cambria" w:hAnsi="Cambria"/>
          <w:b/>
          <w:color w:val="FFFFFF"/>
          <w:sz w:val="20"/>
        </w:rPr>
        <w:t xml:space="preserve"> </w:t>
      </w:r>
      <w:r w:rsidRPr="0046098E">
        <w:rPr>
          <w:rFonts w:ascii="Cambria" w:hAnsi="Cambria"/>
          <w:b/>
          <w:sz w:val="20"/>
        </w:rPr>
        <w:t xml:space="preserve">OF PROCEDURES AND INTERNATIONAL </w:t>
      </w:r>
      <w:r w:rsidRPr="0046098E">
        <w:rPr>
          <w:rFonts w:ascii="Cambria" w:hAnsi="Cambria"/>
          <w:b/>
          <w:i/>
          <w:sz w:val="20"/>
        </w:rPr>
        <w:t>RES JUDICATA</w:t>
      </w:r>
      <w:r w:rsidRPr="0046098E">
        <w:rPr>
          <w:rFonts w:ascii="Cambria" w:hAnsi="Cambria"/>
          <w:b/>
          <w:sz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5"/>
        <w:gridCol w:w="5677"/>
      </w:tblGrid>
      <w:tr w:rsidR="0037742A" w:rsidRPr="0046098E" w14:paraId="186B251C" w14:textId="77777777" w:rsidTr="007F1237">
        <w:trPr>
          <w:cantSplit/>
        </w:trPr>
        <w:tc>
          <w:tcPr>
            <w:tcW w:w="3600" w:type="dxa"/>
            <w:tcBorders>
              <w:top w:val="single" w:sz="4" w:space="0" w:color="auto"/>
            </w:tcBorders>
            <w:shd w:val="clear" w:color="auto" w:fill="73BF43"/>
            <w:vAlign w:val="center"/>
          </w:tcPr>
          <w:p w14:paraId="5881EA65" w14:textId="77777777" w:rsidR="0037742A" w:rsidRPr="0046098E" w:rsidRDefault="0037742A" w:rsidP="00365E52">
            <w:pPr>
              <w:jc w:val="center"/>
              <w:rPr>
                <w:rFonts w:ascii="Cambria" w:hAnsi="Cambria"/>
                <w:b/>
                <w:bCs/>
                <w:color w:val="FFFFFF"/>
                <w:sz w:val="20"/>
                <w:szCs w:val="20"/>
              </w:rPr>
            </w:pPr>
            <w:r w:rsidRPr="0046098E">
              <w:rPr>
                <w:rFonts w:ascii="Cambria" w:hAnsi="Cambria"/>
                <w:b/>
                <w:color w:val="FFFFFF"/>
                <w:sz w:val="20"/>
              </w:rPr>
              <w:t>Duplication of procedures and international res judicata:</w:t>
            </w:r>
          </w:p>
        </w:tc>
        <w:tc>
          <w:tcPr>
            <w:tcW w:w="5760" w:type="dxa"/>
            <w:tcBorders>
              <w:top w:val="single" w:sz="4" w:space="0" w:color="auto"/>
            </w:tcBorders>
            <w:vAlign w:val="center"/>
          </w:tcPr>
          <w:p w14:paraId="0B09F791" w14:textId="77777777" w:rsidR="0037742A" w:rsidRPr="0046098E" w:rsidRDefault="0037742A" w:rsidP="00365E52">
            <w:pPr>
              <w:jc w:val="both"/>
              <w:rPr>
                <w:rFonts w:ascii="Cambria" w:hAnsi="Cambria"/>
                <w:bCs/>
                <w:sz w:val="20"/>
                <w:szCs w:val="20"/>
              </w:rPr>
            </w:pPr>
            <w:r w:rsidRPr="0046098E">
              <w:rPr>
                <w:rFonts w:ascii="Cambria" w:hAnsi="Cambria"/>
                <w:sz w:val="20"/>
              </w:rPr>
              <w:t>No</w:t>
            </w:r>
          </w:p>
        </w:tc>
      </w:tr>
      <w:tr w:rsidR="0037742A" w:rsidRPr="0046098E" w14:paraId="1577966A" w14:textId="77777777" w:rsidTr="007F1237">
        <w:trPr>
          <w:cantSplit/>
        </w:trPr>
        <w:tc>
          <w:tcPr>
            <w:tcW w:w="3600" w:type="dxa"/>
            <w:tcBorders>
              <w:top w:val="single" w:sz="4" w:space="0" w:color="auto"/>
            </w:tcBorders>
            <w:shd w:val="clear" w:color="auto" w:fill="73BF43"/>
            <w:vAlign w:val="center"/>
          </w:tcPr>
          <w:p w14:paraId="617B55D2" w14:textId="77777777" w:rsidR="0037742A" w:rsidRPr="0046098E" w:rsidRDefault="0037742A" w:rsidP="00365E52">
            <w:pPr>
              <w:jc w:val="center"/>
              <w:rPr>
                <w:rFonts w:ascii="Cambria" w:hAnsi="Cambria"/>
                <w:b/>
                <w:bCs/>
                <w:i/>
                <w:color w:val="FFFFFF"/>
                <w:sz w:val="20"/>
                <w:szCs w:val="20"/>
              </w:rPr>
            </w:pPr>
            <w:r w:rsidRPr="0046098E">
              <w:rPr>
                <w:rFonts w:ascii="Cambria" w:hAnsi="Cambria"/>
                <w:b/>
                <w:i/>
                <w:color w:val="FFFFFF"/>
                <w:sz w:val="20"/>
              </w:rPr>
              <w:t>Rights declared admissible:</w:t>
            </w:r>
          </w:p>
        </w:tc>
        <w:tc>
          <w:tcPr>
            <w:tcW w:w="5760" w:type="dxa"/>
            <w:vAlign w:val="center"/>
          </w:tcPr>
          <w:p w14:paraId="53985166" w14:textId="5221EFDD" w:rsidR="0037742A" w:rsidRPr="0046098E" w:rsidRDefault="004B56A5" w:rsidP="007325D3">
            <w:pPr>
              <w:jc w:val="both"/>
              <w:rPr>
                <w:rFonts w:ascii="Cambria" w:hAnsi="Cambria"/>
                <w:bCs/>
                <w:sz w:val="20"/>
                <w:szCs w:val="20"/>
              </w:rPr>
            </w:pPr>
            <w:r w:rsidRPr="0046098E">
              <w:rPr>
                <w:rFonts w:ascii="Cambria" w:hAnsi="Cambria"/>
                <w:sz w:val="20"/>
              </w:rPr>
              <w:t>N/A</w:t>
            </w:r>
          </w:p>
        </w:tc>
      </w:tr>
      <w:tr w:rsidR="0037742A" w:rsidRPr="0046098E" w14:paraId="1E9C34B7" w14:textId="77777777" w:rsidTr="007F1237">
        <w:trPr>
          <w:cantSplit/>
        </w:trPr>
        <w:tc>
          <w:tcPr>
            <w:tcW w:w="3600" w:type="dxa"/>
            <w:shd w:val="clear" w:color="auto" w:fill="73BF43"/>
            <w:vAlign w:val="center"/>
          </w:tcPr>
          <w:p w14:paraId="27D22A9D" w14:textId="77777777" w:rsidR="0037742A" w:rsidRPr="0046098E" w:rsidRDefault="0037742A" w:rsidP="00365E52">
            <w:pPr>
              <w:jc w:val="center"/>
              <w:rPr>
                <w:rFonts w:ascii="Cambria" w:hAnsi="Cambria"/>
                <w:b/>
                <w:bCs/>
                <w:color w:val="FFFFFF"/>
                <w:sz w:val="20"/>
                <w:szCs w:val="20"/>
              </w:rPr>
            </w:pPr>
            <w:r w:rsidRPr="0046098E">
              <w:rPr>
                <w:rFonts w:ascii="Cambria" w:hAnsi="Cambria"/>
                <w:b/>
                <w:color w:val="FFFFFF"/>
                <w:sz w:val="20"/>
              </w:rPr>
              <w:t>Exhaustion of domestic remedies or applicability of an exception to the rule:</w:t>
            </w:r>
          </w:p>
        </w:tc>
        <w:tc>
          <w:tcPr>
            <w:tcW w:w="5760" w:type="dxa"/>
            <w:vAlign w:val="center"/>
          </w:tcPr>
          <w:p w14:paraId="44B9952A" w14:textId="315CE14A" w:rsidR="0037742A" w:rsidRPr="0046098E" w:rsidRDefault="004C3DAE" w:rsidP="00966963">
            <w:pPr>
              <w:rPr>
                <w:rFonts w:ascii="Cambria" w:hAnsi="Cambria"/>
                <w:bCs/>
                <w:sz w:val="20"/>
                <w:szCs w:val="20"/>
              </w:rPr>
            </w:pPr>
            <w:r w:rsidRPr="0046098E">
              <w:rPr>
                <w:rFonts w:ascii="Cambria" w:hAnsi="Cambria"/>
                <w:sz w:val="20"/>
              </w:rPr>
              <w:t>No</w:t>
            </w:r>
          </w:p>
        </w:tc>
      </w:tr>
      <w:tr w:rsidR="0037742A" w:rsidRPr="0046098E" w14:paraId="7B70730B" w14:textId="77777777" w:rsidTr="007F1237">
        <w:trPr>
          <w:cantSplit/>
        </w:trPr>
        <w:tc>
          <w:tcPr>
            <w:tcW w:w="3600" w:type="dxa"/>
            <w:tcBorders>
              <w:bottom w:val="single" w:sz="4" w:space="0" w:color="auto"/>
            </w:tcBorders>
            <w:shd w:val="clear" w:color="auto" w:fill="73BF43"/>
            <w:vAlign w:val="center"/>
          </w:tcPr>
          <w:p w14:paraId="699F1CC1" w14:textId="77777777" w:rsidR="0037742A" w:rsidRPr="0046098E" w:rsidRDefault="0037742A" w:rsidP="00365E52">
            <w:pPr>
              <w:jc w:val="center"/>
              <w:rPr>
                <w:rFonts w:ascii="Cambria" w:hAnsi="Cambria"/>
                <w:b/>
                <w:bCs/>
                <w:color w:val="FFFFFF"/>
                <w:sz w:val="20"/>
                <w:szCs w:val="20"/>
              </w:rPr>
            </w:pPr>
            <w:r w:rsidRPr="0046098E">
              <w:rPr>
                <w:rFonts w:ascii="Cambria" w:hAnsi="Cambria"/>
                <w:b/>
                <w:color w:val="FFFFFF"/>
                <w:sz w:val="20"/>
              </w:rPr>
              <w:t>Timeliness of the petition:</w:t>
            </w:r>
          </w:p>
        </w:tc>
        <w:tc>
          <w:tcPr>
            <w:tcW w:w="5760" w:type="dxa"/>
            <w:tcBorders>
              <w:bottom w:val="single" w:sz="4" w:space="0" w:color="auto"/>
            </w:tcBorders>
            <w:vAlign w:val="center"/>
          </w:tcPr>
          <w:p w14:paraId="181F14DF" w14:textId="50592C67" w:rsidR="0037742A" w:rsidRPr="0046098E" w:rsidRDefault="004C3DAE" w:rsidP="004C3DAE">
            <w:pPr>
              <w:rPr>
                <w:rFonts w:ascii="Cambria" w:hAnsi="Cambria"/>
                <w:bCs/>
                <w:sz w:val="20"/>
                <w:szCs w:val="20"/>
              </w:rPr>
            </w:pPr>
            <w:r w:rsidRPr="0046098E">
              <w:rPr>
                <w:rFonts w:ascii="Cambria" w:hAnsi="Cambria"/>
                <w:sz w:val="20"/>
              </w:rPr>
              <w:t>N/A</w:t>
            </w:r>
          </w:p>
        </w:tc>
      </w:tr>
    </w:tbl>
    <w:p w14:paraId="633E1EB5" w14:textId="77777777" w:rsidR="006D0E0A" w:rsidRPr="0046098E" w:rsidRDefault="006D0E0A" w:rsidP="00E20A73">
      <w:pPr>
        <w:spacing w:after="0" w:line="240" w:lineRule="auto"/>
        <w:jc w:val="both"/>
        <w:rPr>
          <w:rFonts w:ascii="Cambria" w:hAnsi="Cambria"/>
          <w:b/>
          <w:sz w:val="20"/>
          <w:szCs w:val="20"/>
          <w:lang w:val="es-ES_tradnl"/>
        </w:rPr>
      </w:pPr>
    </w:p>
    <w:p w14:paraId="1F8BC788" w14:textId="77777777" w:rsidR="002E5420" w:rsidRDefault="002E5420" w:rsidP="00E20A73">
      <w:pPr>
        <w:spacing w:after="0" w:line="240" w:lineRule="auto"/>
        <w:ind w:firstLine="720"/>
        <w:jc w:val="both"/>
        <w:rPr>
          <w:rFonts w:ascii="Cambria" w:hAnsi="Cambria"/>
          <w:b/>
          <w:sz w:val="20"/>
        </w:rPr>
      </w:pPr>
    </w:p>
    <w:p w14:paraId="23FA6A81" w14:textId="211E395F" w:rsidR="0037742A" w:rsidRPr="0046098E" w:rsidRDefault="0037742A" w:rsidP="00E20A73">
      <w:pPr>
        <w:spacing w:after="0" w:line="240" w:lineRule="auto"/>
        <w:ind w:firstLine="720"/>
        <w:jc w:val="both"/>
        <w:rPr>
          <w:rFonts w:ascii="Cambria" w:hAnsi="Cambria"/>
          <w:b/>
          <w:sz w:val="20"/>
          <w:szCs w:val="20"/>
        </w:rPr>
      </w:pPr>
      <w:r w:rsidRPr="0046098E">
        <w:rPr>
          <w:rFonts w:ascii="Cambria" w:hAnsi="Cambria"/>
          <w:b/>
          <w:sz w:val="20"/>
        </w:rPr>
        <w:lastRenderedPageBreak/>
        <w:t xml:space="preserve">V. </w:t>
      </w:r>
      <w:r w:rsidR="00803529">
        <w:rPr>
          <w:rFonts w:ascii="Cambria" w:hAnsi="Cambria"/>
          <w:b/>
          <w:sz w:val="20"/>
        </w:rPr>
        <w:tab/>
      </w:r>
      <w:r w:rsidRPr="0046098E">
        <w:rPr>
          <w:rFonts w:ascii="Cambria" w:hAnsi="Cambria"/>
          <w:b/>
          <w:sz w:val="20"/>
        </w:rPr>
        <w:t xml:space="preserve">ALLEGED FACTS </w:t>
      </w:r>
    </w:p>
    <w:p w14:paraId="35847D25" w14:textId="77777777" w:rsidR="00E20A73" w:rsidRPr="0046098E" w:rsidRDefault="00E20A73" w:rsidP="00E20A73">
      <w:pPr>
        <w:spacing w:after="0" w:line="240" w:lineRule="auto"/>
        <w:jc w:val="both"/>
        <w:rPr>
          <w:rFonts w:ascii="Cambria" w:hAnsi="Cambria"/>
          <w:b/>
          <w:sz w:val="20"/>
          <w:szCs w:val="20"/>
          <w:lang w:val="es-ES_tradnl"/>
        </w:rPr>
      </w:pPr>
    </w:p>
    <w:p w14:paraId="0FA182FE" w14:textId="0813FE6A" w:rsidR="000B47D2" w:rsidRPr="0046098E" w:rsidRDefault="00D12290" w:rsidP="00E20A73">
      <w:pPr>
        <w:pStyle w:val="Default"/>
        <w:numPr>
          <w:ilvl w:val="0"/>
          <w:numId w:val="55"/>
        </w:numPr>
        <w:spacing w:after="0" w:line="240" w:lineRule="auto"/>
        <w:jc w:val="both"/>
        <w:rPr>
          <w:rFonts w:ascii="Cambria" w:hAnsi="Cambria" w:cs="Arial"/>
          <w:sz w:val="16"/>
          <w:szCs w:val="16"/>
        </w:rPr>
      </w:pPr>
      <w:r w:rsidRPr="0046098E">
        <w:rPr>
          <w:rFonts w:ascii="Cambria" w:hAnsi="Cambria"/>
          <w:sz w:val="20"/>
        </w:rPr>
        <w:t xml:space="preserve">The petitioner alleges that Manuel Enrique Leiva Oliva (hereinafter "the alleged victim") was removed without due process from his position at the Central American Corporation for Air Navigation Services (COCESNA), an international organization of the Central American Integration System (SICA), with international legal personality and headquarters in Honduras. He also claims that he has been left unprotected after the courts of his country refused to exercise judicial oversight of his dismissal on the grounds of a jurisdictional immunity allegedly protecting that body, </w:t>
      </w:r>
      <w:r w:rsidR="0046098E" w:rsidRPr="0046098E">
        <w:rPr>
          <w:rFonts w:ascii="Cambria" w:hAnsi="Cambria"/>
          <w:sz w:val="20"/>
        </w:rPr>
        <w:t>even though</w:t>
      </w:r>
      <w:r w:rsidRPr="0046098E">
        <w:rPr>
          <w:rFonts w:ascii="Cambria" w:hAnsi="Cambria"/>
          <w:sz w:val="20"/>
        </w:rPr>
        <w:t xml:space="preserve"> it had waived that immunity by registering its rules of procedure with the Honduran authorities.  </w:t>
      </w:r>
    </w:p>
    <w:p w14:paraId="27B31A51" w14:textId="77777777" w:rsidR="0076193D" w:rsidRPr="0046098E" w:rsidRDefault="0076193D" w:rsidP="00E20A73">
      <w:pPr>
        <w:pStyle w:val="Default"/>
        <w:spacing w:after="0" w:line="240" w:lineRule="auto"/>
        <w:ind w:left="720"/>
        <w:jc w:val="both"/>
        <w:rPr>
          <w:rFonts w:ascii="Cambria" w:hAnsi="Cambria" w:cs="Arial"/>
          <w:sz w:val="16"/>
          <w:szCs w:val="16"/>
          <w:lang w:eastAsia="es-ES"/>
        </w:rPr>
      </w:pPr>
    </w:p>
    <w:p w14:paraId="3091BE11" w14:textId="53A0EF1D" w:rsidR="00244671" w:rsidRPr="0046098E" w:rsidRDefault="00F0303E" w:rsidP="00E20A73">
      <w:pPr>
        <w:pStyle w:val="Default"/>
        <w:numPr>
          <w:ilvl w:val="0"/>
          <w:numId w:val="55"/>
        </w:numPr>
        <w:spacing w:after="0" w:line="240" w:lineRule="auto"/>
        <w:jc w:val="both"/>
        <w:rPr>
          <w:rFonts w:ascii="Cambria" w:hAnsi="Cambria" w:cs="Arial"/>
          <w:sz w:val="16"/>
          <w:szCs w:val="16"/>
        </w:rPr>
      </w:pPr>
      <w:r w:rsidRPr="0046098E">
        <w:rPr>
          <w:rFonts w:ascii="Cambria" w:hAnsi="Cambria"/>
          <w:sz w:val="20"/>
        </w:rPr>
        <w:t>In 1992, the alleged victim joined COCESNA, which operated under an agreement with Honduras that provided immunity from any jurisdiction, unless such immunity had expressly been waived. On April 30, 2011, the alleged victim was dismissed from COCESNA, due to an alleged restructuring and modernization of the organization; according to the petitioner, the dismissal was carried out without prior administrative investigation and in violation of the labor stability provided for in the Honduran legal system.</w:t>
      </w:r>
    </w:p>
    <w:p w14:paraId="0B0EFCBB" w14:textId="44C9706E" w:rsidR="00244671" w:rsidRPr="0046098E" w:rsidRDefault="00244671" w:rsidP="00E20A73">
      <w:pPr>
        <w:pStyle w:val="Default"/>
        <w:spacing w:after="0" w:line="240" w:lineRule="auto"/>
        <w:jc w:val="both"/>
        <w:rPr>
          <w:rFonts w:ascii="Cambria" w:hAnsi="Cambria" w:cs="Arial"/>
          <w:sz w:val="16"/>
          <w:szCs w:val="16"/>
          <w:lang w:eastAsia="es-ES"/>
        </w:rPr>
      </w:pPr>
    </w:p>
    <w:p w14:paraId="097B6A77" w14:textId="166E962D" w:rsidR="008F4BB4" w:rsidRPr="0046098E" w:rsidRDefault="008F4BB4" w:rsidP="00E20A73">
      <w:pPr>
        <w:pStyle w:val="Default"/>
        <w:numPr>
          <w:ilvl w:val="0"/>
          <w:numId w:val="55"/>
        </w:numPr>
        <w:spacing w:after="0" w:line="240" w:lineRule="auto"/>
        <w:jc w:val="both"/>
        <w:rPr>
          <w:rFonts w:ascii="Cambria" w:hAnsi="Cambria" w:cs="Arial"/>
          <w:sz w:val="16"/>
          <w:szCs w:val="16"/>
        </w:rPr>
      </w:pPr>
      <w:bookmarkStart w:id="0" w:name="_Hlk93663572"/>
      <w:r w:rsidRPr="0046098E">
        <w:rPr>
          <w:rFonts w:ascii="Cambria" w:hAnsi="Cambria"/>
          <w:sz w:val="20"/>
        </w:rPr>
        <w:t>On August 5, 2011, the alleged victim filed a regular labor lawsuit against COCESNA requesting reinstatement to his job, which was admitted. COCESNA filed a motion declining the request due to lack of jurisdiction, which was declared inadmissible by the court. The decision was appealed by COCESNA, but the appeal was dismissed on February 23, 2012. COCESNA then filed a writ of amparo before the Supreme Court of Justice against the resolution that dismissed its appeal. The Public Prosecutors' Office, for its part, issued an opinion in which it stated that it considered the amparo action to be inadmissible. However, on August 20, 2013, the Supreme Court of Justice granted the amparo requested by COCESNA</w:t>
      </w:r>
      <w:bookmarkStart w:id="1" w:name="_Hlk93663171"/>
      <w:r w:rsidR="0001561E" w:rsidRPr="0046098E">
        <w:rPr>
          <w:rStyle w:val="FootnoteReference"/>
          <w:rFonts w:ascii="Cambria" w:hAnsi="Cambria"/>
          <w:sz w:val="20"/>
          <w:szCs w:val="20"/>
          <w:lang w:val="es-ES_tradnl" w:eastAsia="es-ES"/>
        </w:rPr>
        <w:footnoteReference w:id="5"/>
      </w:r>
      <w:r w:rsidRPr="0046098E">
        <w:rPr>
          <w:rFonts w:ascii="Cambria" w:hAnsi="Cambria"/>
          <w:sz w:val="20"/>
        </w:rPr>
        <w:t xml:space="preserve">. </w:t>
      </w:r>
      <w:bookmarkEnd w:id="1"/>
    </w:p>
    <w:bookmarkEnd w:id="0"/>
    <w:p w14:paraId="25272FD2" w14:textId="77777777" w:rsidR="00E20A73" w:rsidRPr="0046098E" w:rsidRDefault="00E20A73" w:rsidP="00E20A73">
      <w:pPr>
        <w:pStyle w:val="Default"/>
        <w:spacing w:after="0" w:line="240" w:lineRule="auto"/>
        <w:jc w:val="both"/>
        <w:rPr>
          <w:rFonts w:ascii="Cambria" w:hAnsi="Cambria" w:cs="Arial"/>
          <w:sz w:val="16"/>
          <w:szCs w:val="16"/>
          <w:lang w:eastAsia="es-ES"/>
        </w:rPr>
      </w:pPr>
    </w:p>
    <w:p w14:paraId="5C1F64BB" w14:textId="4DFDA970" w:rsidR="00244671" w:rsidRPr="0046098E" w:rsidRDefault="00D07FD0" w:rsidP="00E20A73">
      <w:pPr>
        <w:pStyle w:val="Default"/>
        <w:numPr>
          <w:ilvl w:val="0"/>
          <w:numId w:val="55"/>
        </w:numPr>
        <w:spacing w:after="0" w:line="240" w:lineRule="auto"/>
        <w:jc w:val="both"/>
        <w:rPr>
          <w:rFonts w:ascii="Cambria" w:hAnsi="Cambria" w:cs="Arial"/>
          <w:sz w:val="16"/>
          <w:szCs w:val="16"/>
        </w:rPr>
      </w:pPr>
      <w:r w:rsidRPr="0046098E">
        <w:rPr>
          <w:rFonts w:ascii="Cambria" w:hAnsi="Cambria"/>
          <w:sz w:val="20"/>
        </w:rPr>
        <w:t xml:space="preserve">The alleged victim filed an appeal for review against the amparo judgment in favor of COCESNA, which was dismissed on September 12, 2013. On November 4, 2013, the Labor Court of Appeals issued a new ruling in compliance with the amparo ruling, in which it granted the motion to decline filed by COCESNA. According to the petitioner, this decision definitively precluded the alleged victim from going to the Honduran labor courts to protect his violated labor rights. </w:t>
      </w:r>
    </w:p>
    <w:p w14:paraId="47305883" w14:textId="32DDECA1" w:rsidR="00244671" w:rsidRPr="0046098E" w:rsidRDefault="00244671" w:rsidP="00E20A73">
      <w:pPr>
        <w:pStyle w:val="Default"/>
        <w:spacing w:after="0" w:line="240" w:lineRule="auto"/>
        <w:jc w:val="both"/>
        <w:rPr>
          <w:rFonts w:ascii="Cambria" w:hAnsi="Cambria" w:cs="Arial"/>
          <w:sz w:val="16"/>
          <w:szCs w:val="16"/>
          <w:lang w:eastAsia="es-ES"/>
        </w:rPr>
      </w:pPr>
    </w:p>
    <w:p w14:paraId="003D296E" w14:textId="518214D3" w:rsidR="00E57A4F" w:rsidRPr="0046098E" w:rsidRDefault="0064556D" w:rsidP="00E20A73">
      <w:pPr>
        <w:pStyle w:val="Default"/>
        <w:numPr>
          <w:ilvl w:val="0"/>
          <w:numId w:val="55"/>
        </w:numPr>
        <w:spacing w:after="0" w:line="240" w:lineRule="auto"/>
        <w:jc w:val="both"/>
        <w:rPr>
          <w:rFonts w:ascii="Cambria" w:hAnsi="Cambria" w:cs="Arial"/>
          <w:sz w:val="16"/>
          <w:szCs w:val="16"/>
        </w:rPr>
      </w:pPr>
      <w:r w:rsidRPr="0046098E">
        <w:rPr>
          <w:rFonts w:ascii="Cambria" w:hAnsi="Cambria"/>
          <w:sz w:val="20"/>
        </w:rPr>
        <w:t xml:space="preserve">The petitioner alleges that in granting amparo in favor of COCESNA, the Supreme Court ignored that said organization had waived its immunity from jurisdiction regarding labor matters, since on December 6, </w:t>
      </w:r>
      <w:r w:rsidR="0046098E" w:rsidRPr="0046098E">
        <w:rPr>
          <w:rFonts w:ascii="Cambria" w:hAnsi="Cambria"/>
          <w:sz w:val="20"/>
        </w:rPr>
        <w:t>2004,</w:t>
      </w:r>
      <w:r w:rsidRPr="0046098E">
        <w:rPr>
          <w:rFonts w:ascii="Cambria" w:hAnsi="Cambria"/>
          <w:sz w:val="20"/>
        </w:rPr>
        <w:t xml:space="preserve"> it had registered an internal labor-related rule of procedure with the Honduran Secretariat of Labor and Social Security; and that said rule of procedure was in force at the time the courts ruled on the alleged victim's case. The petitioner adds that the rule of procedure remained in force until 2019 and rejects the argument that COCESNA did not agree to submit to the Honduran labor courts due to alleged formal irregularities in said procedure. In this regard, it emphasizes that COCESNA's normal practice is to submit to national labor jurisdictions and cites the cases of Guatemala, where it formulated labor-related rules of procedure in accordance with the provisions of the Labor Code of that country; and of Nicaragua, where it adopted labor-related rules of procedure expressly recognizing that it must comply with the obligations contained in the Labor Code of that country.</w:t>
      </w:r>
    </w:p>
    <w:p w14:paraId="4E3C6AEB" w14:textId="77777777" w:rsidR="00E57A4F" w:rsidRPr="0046098E" w:rsidRDefault="00E57A4F" w:rsidP="00E20A73">
      <w:pPr>
        <w:pStyle w:val="Default"/>
        <w:spacing w:after="0" w:line="240" w:lineRule="auto"/>
        <w:jc w:val="both"/>
        <w:rPr>
          <w:rFonts w:ascii="Cambria" w:hAnsi="Cambria" w:cs="Arial"/>
          <w:sz w:val="16"/>
          <w:szCs w:val="16"/>
          <w:lang w:eastAsia="es-ES"/>
        </w:rPr>
      </w:pPr>
    </w:p>
    <w:p w14:paraId="1B509D67" w14:textId="625D0BEA" w:rsidR="00244671" w:rsidRPr="0046098E" w:rsidRDefault="00C53C58" w:rsidP="00E20A73">
      <w:pPr>
        <w:pStyle w:val="Default"/>
        <w:numPr>
          <w:ilvl w:val="0"/>
          <w:numId w:val="55"/>
        </w:numPr>
        <w:spacing w:after="0" w:line="240" w:lineRule="auto"/>
        <w:jc w:val="both"/>
        <w:rPr>
          <w:rFonts w:ascii="Cambria" w:hAnsi="Cambria" w:cs="Arial"/>
          <w:sz w:val="16"/>
          <w:szCs w:val="16"/>
        </w:rPr>
      </w:pPr>
      <w:r w:rsidRPr="0046098E">
        <w:rPr>
          <w:rFonts w:ascii="Cambria" w:hAnsi="Cambria"/>
          <w:sz w:val="20"/>
        </w:rPr>
        <w:t>The petitioner also argues that the Supreme Court violated the alleged victim's right to equality, since in other labor lawsuits filed against COCESNA, the national courts had asserted their competence, which resulted in orders for reinstatement and payment to the appellants of foregone wages.</w:t>
      </w:r>
      <w:r w:rsidRPr="0046098E">
        <w:rPr>
          <w:rFonts w:ascii="Cambria" w:hAnsi="Cambria"/>
          <w:sz w:val="16"/>
        </w:rPr>
        <w:t xml:space="preserve"> </w:t>
      </w:r>
      <w:r w:rsidRPr="0046098E">
        <w:rPr>
          <w:rFonts w:ascii="Cambria" w:hAnsi="Cambria"/>
          <w:sz w:val="20"/>
        </w:rPr>
        <w:t>In support of this assertion, it provides copies of the files of several of these proceedings, including the file that culminated in the resolution of labor amparo suit 0676-2015.</w:t>
      </w:r>
      <w:r w:rsidR="002B6F88" w:rsidRPr="0046098E">
        <w:rPr>
          <w:rStyle w:val="FootnoteReference"/>
          <w:rFonts w:ascii="Cambria" w:hAnsi="Cambria"/>
          <w:sz w:val="20"/>
          <w:szCs w:val="20"/>
          <w:lang w:val="es-ES_tradnl" w:eastAsia="es-ES"/>
        </w:rPr>
        <w:footnoteReference w:id="6"/>
      </w:r>
      <w:r w:rsidRPr="0046098E">
        <w:rPr>
          <w:rFonts w:ascii="Cambria" w:hAnsi="Cambria"/>
          <w:sz w:val="20"/>
        </w:rPr>
        <w:t xml:space="preserve"> It also mentions that on June 8, 2021, the Labor </w:t>
      </w:r>
      <w:r w:rsidRPr="0046098E">
        <w:rPr>
          <w:rFonts w:ascii="Cambria" w:hAnsi="Cambria"/>
          <w:sz w:val="20"/>
        </w:rPr>
        <w:lastRenderedPageBreak/>
        <w:t>Court of Appeals rejected an appeal filed by COCESNA against a first instance judgment in which it had invoked its alleged immunity privilege.</w:t>
      </w:r>
    </w:p>
    <w:p w14:paraId="7107ECB5" w14:textId="77777777" w:rsidR="00450E17" w:rsidRPr="0046098E" w:rsidRDefault="00450E17" w:rsidP="00E20A73">
      <w:pPr>
        <w:pStyle w:val="Default"/>
        <w:spacing w:after="0" w:line="240" w:lineRule="auto"/>
        <w:ind w:left="720"/>
        <w:jc w:val="both"/>
        <w:rPr>
          <w:rFonts w:ascii="Cambria" w:hAnsi="Cambria" w:cs="Arial"/>
          <w:sz w:val="16"/>
          <w:szCs w:val="16"/>
          <w:lang w:eastAsia="es-ES"/>
        </w:rPr>
      </w:pPr>
    </w:p>
    <w:p w14:paraId="59FABBF1" w14:textId="5BBA25C2" w:rsidR="00915C27" w:rsidRPr="0046098E" w:rsidRDefault="007578DB" w:rsidP="00E20A73">
      <w:pPr>
        <w:pStyle w:val="Default"/>
        <w:numPr>
          <w:ilvl w:val="0"/>
          <w:numId w:val="55"/>
        </w:numPr>
        <w:spacing w:after="0" w:line="240" w:lineRule="auto"/>
        <w:jc w:val="both"/>
        <w:rPr>
          <w:rFonts w:ascii="Cambria" w:hAnsi="Cambria" w:cs="Arial"/>
          <w:sz w:val="16"/>
          <w:szCs w:val="16"/>
        </w:rPr>
      </w:pPr>
      <w:r w:rsidRPr="0046098E">
        <w:rPr>
          <w:rFonts w:ascii="Cambria" w:hAnsi="Cambria"/>
          <w:sz w:val="20"/>
        </w:rPr>
        <w:t xml:space="preserve">According to the petitioner, the State's mediation through diplomatic channels would not grant the alleged victim a real possibility of obtaining justice, because it would leave him at the mercy of COCESNA’s one-sided position. This entity had already provided, in Resolution 2013/101.5 issued on June 17, 2013 by its Board of Directors, that it would not, under any circumstances, reinstate the persons dismissed by the institution between 2009 and 2012. </w:t>
      </w:r>
    </w:p>
    <w:p w14:paraId="2ACBB382" w14:textId="77777777" w:rsidR="00915C27" w:rsidRPr="0046098E" w:rsidRDefault="00915C27" w:rsidP="00E20A73">
      <w:pPr>
        <w:pStyle w:val="Default"/>
        <w:spacing w:after="0" w:line="240" w:lineRule="auto"/>
        <w:jc w:val="both"/>
        <w:rPr>
          <w:rFonts w:ascii="Cambria" w:hAnsi="Cambria" w:cs="Arial"/>
          <w:sz w:val="16"/>
          <w:szCs w:val="16"/>
          <w:lang w:eastAsia="es-ES"/>
        </w:rPr>
      </w:pPr>
    </w:p>
    <w:p w14:paraId="0A0E8F9E" w14:textId="43AB75D0" w:rsidR="005E22EE" w:rsidRPr="0046098E" w:rsidRDefault="002B6F88" w:rsidP="00E20A73">
      <w:pPr>
        <w:pStyle w:val="Default"/>
        <w:numPr>
          <w:ilvl w:val="0"/>
          <w:numId w:val="55"/>
        </w:numPr>
        <w:spacing w:after="0" w:line="240" w:lineRule="auto"/>
        <w:jc w:val="both"/>
        <w:rPr>
          <w:rFonts w:ascii="Cambria" w:hAnsi="Cambria" w:cs="Arial"/>
          <w:sz w:val="16"/>
          <w:szCs w:val="16"/>
        </w:rPr>
      </w:pPr>
      <w:r w:rsidRPr="0046098E">
        <w:rPr>
          <w:rFonts w:ascii="Cambria" w:hAnsi="Cambria"/>
          <w:sz w:val="20"/>
        </w:rPr>
        <w:t xml:space="preserve">It also notes that the internal mediation and arbitration procedures with the right to appeal to the Central American Court of Justice provided for in COCESNA's current Code of Services would not be applicable to the alleged victim's case, as this Code entered into force in 2014, more than three years after the alleged victim's dismissal. Moreover, the Code envisages such mechanisms for disciplinary actions against COCESNA officials, whereas the alleged victim was dismissed as a result of an alleged restructuring. The petitioner adds that the previous Services Code adopted by COCESNA in 1988 did not provide for any referral to the Central American Court of Justice, but, rather, envisaged the adoption of internal work-related rules of procedure. In the petitioner's opinion, this reference to an internal work-related rule of procedure in its Service Code implies that COCESNA agreed to submit to domestic labor laws. </w:t>
      </w:r>
    </w:p>
    <w:p w14:paraId="272BCF42" w14:textId="77777777" w:rsidR="005E22EE" w:rsidRPr="0046098E" w:rsidRDefault="005E22EE" w:rsidP="00E20A73">
      <w:pPr>
        <w:pStyle w:val="Default"/>
        <w:spacing w:after="0" w:line="240" w:lineRule="auto"/>
        <w:jc w:val="both"/>
        <w:rPr>
          <w:rFonts w:ascii="Cambria" w:hAnsi="Cambria" w:cs="Arial"/>
          <w:sz w:val="16"/>
          <w:szCs w:val="16"/>
          <w:lang w:eastAsia="es-ES"/>
        </w:rPr>
      </w:pPr>
    </w:p>
    <w:p w14:paraId="10F62A0B" w14:textId="3E176E93" w:rsidR="00450E17" w:rsidRPr="0046098E" w:rsidRDefault="006E427C" w:rsidP="00E20A73">
      <w:pPr>
        <w:pStyle w:val="Default"/>
        <w:numPr>
          <w:ilvl w:val="0"/>
          <w:numId w:val="55"/>
        </w:numPr>
        <w:spacing w:after="0" w:line="240" w:lineRule="auto"/>
        <w:jc w:val="both"/>
        <w:rPr>
          <w:rFonts w:ascii="Cambria" w:hAnsi="Cambria" w:cs="Arial"/>
          <w:sz w:val="16"/>
          <w:szCs w:val="16"/>
        </w:rPr>
      </w:pPr>
      <w:r w:rsidRPr="0046098E">
        <w:rPr>
          <w:rFonts w:ascii="Cambria" w:hAnsi="Cambria"/>
          <w:sz w:val="20"/>
        </w:rPr>
        <w:t xml:space="preserve">The petitioner also states that the mediation and arbitration procedures are voluntary in nature; and that the Central American Court would not have jurisdiction to hear the alleged victim's case, since its statute indicates that it can only hear appeals on administrative resolutions of SICA bodies that affect its personnel after a reinstatement has been denied, which is different from the case of the alleged victim. The petitioner further alleges that the Central American Court lacks jurisdiction to rule on matters affecting his human rights since Article 25 of its statute provides that "the jurisdiction of the Court does not extend to human rights matters, which correspond exclusively to the Inter-American Court of Human Rights." </w:t>
      </w:r>
      <w:r w:rsidRPr="0046098E">
        <w:rPr>
          <w:rFonts w:ascii="Cambria" w:hAnsi="Cambria"/>
          <w:color w:val="auto"/>
          <w:sz w:val="20"/>
        </w:rPr>
        <w:t>The petition acknowledges that in 2019 the Central American Court issued an advisory opinion in which it affirmed its jurisdiction over COCESNA's labor matters; however, it argues that this opinion is not relevant to the case of the alleged victim, who was dismissed seven years prior to that opinion.</w:t>
      </w:r>
    </w:p>
    <w:p w14:paraId="05675341" w14:textId="77777777" w:rsidR="0001489E" w:rsidRPr="0046098E" w:rsidRDefault="0001489E" w:rsidP="007A4A52">
      <w:pPr>
        <w:pStyle w:val="Default"/>
        <w:spacing w:after="0" w:line="240" w:lineRule="auto"/>
        <w:jc w:val="both"/>
        <w:rPr>
          <w:rFonts w:ascii="Cambria" w:hAnsi="Cambria" w:cs="Arial"/>
          <w:sz w:val="16"/>
          <w:szCs w:val="16"/>
          <w:lang w:eastAsia="es-ES"/>
        </w:rPr>
      </w:pPr>
    </w:p>
    <w:p w14:paraId="61C5DB29" w14:textId="470BC3FB" w:rsidR="00DF4939" w:rsidRPr="0046098E" w:rsidRDefault="00974DD6" w:rsidP="00FD7E41">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The State, for its part, requests that the petition be dismissed for lack of violations and for lack of competence </w:t>
      </w:r>
      <w:r w:rsidRPr="0046098E">
        <w:rPr>
          <w:rFonts w:ascii="Cambria" w:hAnsi="Cambria"/>
          <w:i/>
          <w:sz w:val="20"/>
        </w:rPr>
        <w:t>ratione materiae</w:t>
      </w:r>
      <w:r w:rsidRPr="0046098E">
        <w:rPr>
          <w:rFonts w:ascii="Cambria" w:hAnsi="Cambria"/>
          <w:sz w:val="20"/>
        </w:rPr>
        <w:t xml:space="preserve"> of the organs of the inter-American system. It argues that on April 2, 2001 - ten years</w:t>
      </w:r>
      <w:r w:rsidRPr="0046098E">
        <w:rPr>
          <w:rFonts w:ascii="Cambria" w:hAnsi="Cambria"/>
          <w:color w:val="FF0000"/>
          <w:sz w:val="20"/>
        </w:rPr>
        <w:t xml:space="preserve"> </w:t>
      </w:r>
      <w:r w:rsidRPr="0046098E">
        <w:rPr>
          <w:rFonts w:ascii="Cambria" w:hAnsi="Cambria"/>
          <w:sz w:val="20"/>
        </w:rPr>
        <w:t>before the dismissal of the alleged victim - the National Congress approved the agreement containing the headquarters agreement between Honduras and COCESNA, article 4 of which granted the agency immunity from all jurisdiction. It points out that, based on that agreement, the courts of Honduras do not have jurisdiction to hear claims against COCESNA. It considers that, if the Honduran courts were to hear a suit such as the one filed by the alleged victim, despite not having jurisdiction to do so, they would be in violation of the right to a competent judge provided for in Article 8(1) of the American Convention.  It highlights that the Central American Court stated in its advisory opinion 2-24-03-2017 that COCESNA "enjoys immunity from jurisdiction, which implies that it is not subject to national jurisdiction, so that any dispute arising in the interpretation or application of its legal instruments of operation and those derived therefrom, by way of example, labor contracts, cannot be heard by the national legal bodies of each State party."</w:t>
      </w:r>
    </w:p>
    <w:p w14:paraId="6C23EBC0" w14:textId="56E27FFF" w:rsidR="00DF4939" w:rsidRPr="0046098E" w:rsidRDefault="00DF4939" w:rsidP="00E20A73">
      <w:pPr>
        <w:pStyle w:val="Default"/>
        <w:spacing w:after="0" w:line="240" w:lineRule="auto"/>
        <w:jc w:val="both"/>
        <w:rPr>
          <w:rFonts w:ascii="Cambria" w:hAnsi="Cambria" w:cs="Arial"/>
          <w:sz w:val="20"/>
          <w:szCs w:val="20"/>
          <w:lang w:eastAsia="es-ES"/>
        </w:rPr>
      </w:pPr>
    </w:p>
    <w:p w14:paraId="25BBEE53" w14:textId="1851C20F" w:rsidR="00F234D7" w:rsidRPr="0046098E" w:rsidRDefault="00B27BE0"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In the State's opinion, this does not imply that there are no mechanisms to control possible violations of labor rights by COCESNA, nor that those who work there do not have legal protection. It emphasizes that labor claims against COCESNA may be transferred by the Secretariat of Labor and Social Security, via the Secretariat of Foreign Affairs, so that they may be addressed through diplomatic channels. In its opinion, this was recognized in the judgment that granted amparo to COCESNA in the case related to the alleged victim's claim. It also stresses that Article 22.J of the Statute of the Central American Court of Justice establishes that the Court is competent to "hear in the last instance, on appeal, administrative resolutions </w:t>
      </w:r>
      <w:r w:rsidRPr="0046098E">
        <w:rPr>
          <w:rFonts w:ascii="Cambria" w:hAnsi="Cambria"/>
          <w:sz w:val="20"/>
        </w:rPr>
        <w:lastRenderedPageBreak/>
        <w:t xml:space="preserve">issued by the Organs or Agencies of the Central American Integration System, which directly affect a member of their personnel and whose reinstatement has been denied." </w:t>
      </w:r>
    </w:p>
    <w:p w14:paraId="026573DF" w14:textId="77777777" w:rsidR="00F234D7" w:rsidRPr="0046098E" w:rsidRDefault="00F234D7" w:rsidP="00E20A73">
      <w:pPr>
        <w:pStyle w:val="Default"/>
        <w:spacing w:after="0" w:line="240" w:lineRule="auto"/>
        <w:jc w:val="both"/>
        <w:rPr>
          <w:rFonts w:ascii="Cambria" w:hAnsi="Cambria" w:cs="Arial"/>
          <w:sz w:val="20"/>
          <w:szCs w:val="20"/>
          <w:lang w:eastAsia="es-ES"/>
        </w:rPr>
      </w:pPr>
    </w:p>
    <w:p w14:paraId="2A5820EE" w14:textId="7DB39EAF" w:rsidR="00C2532D" w:rsidRPr="0046098E" w:rsidRDefault="00825C4C"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It affirms that the Central American Court is the competent court to hear legal disputes arising in connection with COCESNA, and that the alleged victim joined the international organization with full knowledge of the special labor regime that would be applicable to him. The State also alleges that the fact that this regime prevents him from having access to the national courts cannot be considered a violation of the alleged victim’s right to equality before the law, since that same regime provides a mechanism and instance for lodging an appeal before the Central American Court. It also argues that the alleged victim's access to justice was not limited; rather, the alleged victim erroneously sought recourse from the Honduran domestic jurisdiction instead of going to the competent jurisdiction.</w:t>
      </w:r>
    </w:p>
    <w:p w14:paraId="33210DBA" w14:textId="77777777" w:rsidR="00C2532D" w:rsidRPr="0046098E" w:rsidRDefault="00C2532D" w:rsidP="00825C4C">
      <w:pPr>
        <w:pStyle w:val="Default"/>
        <w:spacing w:after="0" w:line="240" w:lineRule="auto"/>
        <w:jc w:val="both"/>
        <w:rPr>
          <w:rFonts w:ascii="Cambria" w:hAnsi="Cambria" w:cs="Arial"/>
          <w:sz w:val="20"/>
          <w:szCs w:val="20"/>
          <w:lang w:eastAsia="es-ES"/>
        </w:rPr>
      </w:pPr>
    </w:p>
    <w:p w14:paraId="2C4E5606" w14:textId="7968D452" w:rsidR="00CF006E" w:rsidRPr="0046098E" w:rsidRDefault="00AC1D45"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  The State also denies that COCESNA had waived its immunity by registering an internal work-related rule of procedure with the Honduran authorities. It argues that said rule of procedure was improperly registered, since it is contrary to COCESNA’s legal status and lacks legitimacy requirements, such as the approval of the Board of Directors of the organization. The State emphasizes that the alleged victim himself was the one who registered the </w:t>
      </w:r>
      <w:r w:rsidR="0046098E" w:rsidRPr="0046098E">
        <w:rPr>
          <w:rFonts w:ascii="Cambria" w:hAnsi="Cambria"/>
          <w:sz w:val="20"/>
        </w:rPr>
        <w:t>rule</w:t>
      </w:r>
      <w:r w:rsidRPr="0046098E">
        <w:rPr>
          <w:rFonts w:ascii="Cambria" w:hAnsi="Cambria"/>
          <w:sz w:val="20"/>
        </w:rPr>
        <w:t xml:space="preserve"> of procedure when he held the position of head of the agency’s department of human resources. It further states that the Inter-American Commission lacks competence </w:t>
      </w:r>
      <w:r w:rsidRPr="0046098E">
        <w:rPr>
          <w:rFonts w:ascii="Cambria" w:hAnsi="Cambria"/>
          <w:i/>
          <w:sz w:val="20"/>
        </w:rPr>
        <w:t>ratione materiae</w:t>
      </w:r>
      <w:r w:rsidRPr="0046098E">
        <w:rPr>
          <w:rFonts w:ascii="Cambria" w:hAnsi="Cambria"/>
          <w:sz w:val="20"/>
        </w:rPr>
        <w:t xml:space="preserve"> to rule on the violations alleged by the petitioner, since this would imply interpreting the international legal instruments governing SICA: a function that falls within the exclusive competence of the Central American Court.</w:t>
      </w:r>
    </w:p>
    <w:p w14:paraId="15AAD748" w14:textId="5D341855" w:rsidR="00CF006E" w:rsidRPr="0046098E" w:rsidRDefault="00CF006E" w:rsidP="00E20A73">
      <w:pPr>
        <w:pStyle w:val="Default"/>
        <w:spacing w:after="0" w:line="240" w:lineRule="auto"/>
        <w:jc w:val="both"/>
        <w:rPr>
          <w:rFonts w:ascii="Cambria" w:hAnsi="Cambria" w:cs="Arial"/>
          <w:sz w:val="20"/>
          <w:szCs w:val="20"/>
          <w:lang w:eastAsia="es-ES"/>
        </w:rPr>
      </w:pPr>
    </w:p>
    <w:p w14:paraId="15ADA7FD" w14:textId="76267EFB" w:rsidR="00CF006E" w:rsidRPr="0046098E" w:rsidRDefault="00CF006E" w:rsidP="00050112">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In addition, the State provides an official letter in which COCESNA indicates that it has had a Service Code since 1988, to which the alleged victim agreed to submit in his employment contract. According to this official letter, the alleged victim's contract was terminated in accordance with Article IX of the Services Code, which authorized unilateral termination of the contract with payment of the corresponding benefits. The official letter also states that, if the alleged victim was dissatisfied, he should have gone to the Central American Court, the only body competent to hear administrative resolutions of SICA bodies or agencies in the last instance.</w:t>
      </w:r>
      <w:r w:rsidR="00011667" w:rsidRPr="0046098E">
        <w:rPr>
          <w:rStyle w:val="FootnoteReference"/>
          <w:rFonts w:ascii="Cambria" w:hAnsi="Cambria"/>
          <w:sz w:val="20"/>
          <w:szCs w:val="20"/>
          <w:lang w:val="es-ES_tradnl" w:eastAsia="es-ES"/>
        </w:rPr>
        <w:footnoteReference w:id="7"/>
      </w:r>
      <w:r w:rsidRPr="0046098E">
        <w:rPr>
          <w:rFonts w:ascii="Cambria" w:hAnsi="Cambria"/>
          <w:sz w:val="20"/>
        </w:rPr>
        <w:t xml:space="preserve"> The official letter emphasizes that the alleged victim, having held the position of head of human resources at the agency, was fully aware of the special regime that applied to him as an employee of an international organization, as a result of which he benefited from such privileges as tax exemption in Honduras. </w:t>
      </w:r>
    </w:p>
    <w:p w14:paraId="751BA1B7" w14:textId="77777777" w:rsidR="00A1194F" w:rsidRPr="0046098E" w:rsidRDefault="00A1194F" w:rsidP="00E20A73">
      <w:pPr>
        <w:pStyle w:val="Default"/>
        <w:spacing w:after="0" w:line="240" w:lineRule="auto"/>
        <w:ind w:left="720"/>
        <w:jc w:val="both"/>
        <w:rPr>
          <w:rFonts w:ascii="Cambria" w:hAnsi="Cambria" w:cs="Arial"/>
          <w:sz w:val="20"/>
          <w:szCs w:val="20"/>
          <w:lang w:eastAsia="es-ES"/>
        </w:rPr>
      </w:pPr>
    </w:p>
    <w:p w14:paraId="105C0716" w14:textId="02CD4CBA" w:rsidR="00746DFA" w:rsidRPr="0046098E" w:rsidRDefault="00A1194F"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The </w:t>
      </w:r>
      <w:r w:rsidR="0046098E" w:rsidRPr="0046098E">
        <w:rPr>
          <w:rFonts w:ascii="Cambria" w:hAnsi="Cambria"/>
          <w:sz w:val="20"/>
        </w:rPr>
        <w:t>official</w:t>
      </w:r>
      <w:r w:rsidRPr="0046098E">
        <w:rPr>
          <w:rFonts w:ascii="Cambria" w:hAnsi="Cambria"/>
          <w:sz w:val="20"/>
        </w:rPr>
        <w:t xml:space="preserve"> letter from COCESNA also clarifies that the internal rule of procedure had been unlawfully registered, since COCESNA was referred to throughout the text of the rule of procedure as a "company,” concealing from the Ministry of Labor the fact that it was an international organization. It also states that the rule of procedure referred to airport functions, whereas COCESNA's functions only involve air navigation. The official letter emphasizes that, according to the Honduran Labor Code, in-house labor-related rules of procedure are only applicable to companies, operations, or establishments; not to international organizations. The above-mentioned rule of procedure was repealed in 2019 by the Secretary of State, and was never applied by COCESNA, which always applied its Services Code. </w:t>
      </w:r>
    </w:p>
    <w:p w14:paraId="41FCCD47" w14:textId="77777777" w:rsidR="0076193D" w:rsidRPr="0046098E" w:rsidRDefault="0076193D" w:rsidP="00E20A73">
      <w:pPr>
        <w:pStyle w:val="Default"/>
        <w:spacing w:after="0" w:line="240" w:lineRule="auto"/>
        <w:jc w:val="both"/>
        <w:rPr>
          <w:rFonts w:ascii="Cambria" w:hAnsi="Cambria" w:cs="Arial"/>
          <w:sz w:val="16"/>
          <w:szCs w:val="16"/>
          <w:lang w:eastAsia="es-ES"/>
        </w:rPr>
      </w:pPr>
    </w:p>
    <w:p w14:paraId="2AC6DC71" w14:textId="6CEA081F" w:rsidR="00C969C9" w:rsidRPr="0046098E" w:rsidRDefault="0037742A" w:rsidP="0046098E">
      <w:pPr>
        <w:suppressAutoHyphens/>
        <w:spacing w:after="0" w:line="240" w:lineRule="auto"/>
        <w:ind w:left="1440" w:hanging="720"/>
        <w:jc w:val="both"/>
        <w:rPr>
          <w:rFonts w:ascii="Cambria" w:hAnsi="Cambria"/>
          <w:b/>
          <w:sz w:val="20"/>
          <w:szCs w:val="20"/>
        </w:rPr>
      </w:pPr>
      <w:r w:rsidRPr="0046098E">
        <w:rPr>
          <w:rFonts w:ascii="Cambria" w:hAnsi="Cambria"/>
          <w:b/>
          <w:color w:val="000000"/>
          <w:sz w:val="20"/>
          <w:u w:color="000000"/>
        </w:rPr>
        <w:t>VI.</w:t>
      </w:r>
      <w:r w:rsidRPr="0046098E">
        <w:rPr>
          <w:rFonts w:ascii="Cambria" w:hAnsi="Cambria"/>
          <w:b/>
          <w:color w:val="000000"/>
          <w:sz w:val="20"/>
          <w:u w:color="000000"/>
        </w:rPr>
        <w:tab/>
      </w:r>
      <w:r w:rsidRPr="0046098E">
        <w:rPr>
          <w:rFonts w:ascii="Cambria" w:hAnsi="Cambria"/>
          <w:b/>
          <w:sz w:val="20"/>
        </w:rPr>
        <w:t>EXHAUSTION OF DOMESTIC REMEDIES AND TIMELINESS OF THE PETITION</w:t>
      </w:r>
    </w:p>
    <w:p w14:paraId="69FA202F" w14:textId="1AB19C53" w:rsidR="0037742A" w:rsidRPr="0046098E" w:rsidRDefault="0037742A" w:rsidP="00E20A73">
      <w:pPr>
        <w:suppressAutoHyphens/>
        <w:spacing w:after="0" w:line="240" w:lineRule="auto"/>
        <w:ind w:left="720"/>
        <w:jc w:val="both"/>
        <w:rPr>
          <w:rFonts w:ascii="Cambria" w:hAnsi="Cambria"/>
          <w:sz w:val="20"/>
          <w:szCs w:val="20"/>
        </w:rPr>
      </w:pPr>
      <w:r w:rsidRPr="0046098E">
        <w:rPr>
          <w:rFonts w:ascii="Cambria" w:hAnsi="Cambria"/>
          <w:b/>
          <w:color w:val="000000"/>
          <w:sz w:val="20"/>
          <w:u w:color="000000"/>
        </w:rPr>
        <w:t xml:space="preserve"> </w:t>
      </w:r>
    </w:p>
    <w:p w14:paraId="3EFAD3C3" w14:textId="52BC3F41" w:rsidR="00C770F2" w:rsidRPr="0046098E" w:rsidRDefault="0039666D"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The petitioner has argued that the alleged victim exhausted all the remedies provided by the Honduran legal system. For its part, the State asserts that the petitioner did not go to the Central American Court to discuss his dispute with COCESNA, </w:t>
      </w:r>
      <w:r w:rsidR="0046098E" w:rsidRPr="0046098E">
        <w:rPr>
          <w:rFonts w:ascii="Cambria" w:hAnsi="Cambria"/>
          <w:sz w:val="20"/>
        </w:rPr>
        <w:t>even though</w:t>
      </w:r>
      <w:r w:rsidRPr="0046098E">
        <w:rPr>
          <w:rFonts w:ascii="Cambria" w:hAnsi="Cambria"/>
          <w:sz w:val="20"/>
        </w:rPr>
        <w:t xml:space="preserve"> this was the competent court. </w:t>
      </w:r>
    </w:p>
    <w:p w14:paraId="548C1394" w14:textId="77777777" w:rsidR="00A200D6" w:rsidRPr="0046098E" w:rsidRDefault="00A200D6" w:rsidP="00E20A73">
      <w:pPr>
        <w:pStyle w:val="Default"/>
        <w:spacing w:after="0" w:line="240" w:lineRule="auto"/>
        <w:ind w:left="720"/>
        <w:jc w:val="both"/>
        <w:rPr>
          <w:rFonts w:ascii="Cambria" w:hAnsi="Cambria" w:cs="Arial"/>
          <w:sz w:val="20"/>
          <w:szCs w:val="20"/>
        </w:rPr>
      </w:pPr>
    </w:p>
    <w:p w14:paraId="72BB69A5" w14:textId="3B84FD43" w:rsidR="00A200D6" w:rsidRPr="0046098E" w:rsidRDefault="00A200D6"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rPr>
        <w:t>In keeping with the doctrine of the IACHR, “whenever a State alleges the petitioners’ failure to exhaust domestic remedies, it is responsible for identifying which remedies should be exhausted and demonstrating that the remedies that have not been exhausted are “adequate” for remedying the alleged violation, which means that the function of those remedies within the domestic legal system is appropriate for protecting the legal right that has been infringed.”</w:t>
      </w:r>
      <w:r w:rsidRPr="0046098E">
        <w:rPr>
          <w:rFonts w:ascii="Cambria" w:hAnsi="Cambria"/>
          <w:sz w:val="20"/>
        </w:rPr>
        <w:t xml:space="preserve"> Likewise, the Inter-American Court has stated that "once a State Party has proved the availability of domestic remedies for the exercise of a right protected by the Convention, the burden of proof shifts to the claimant who must then demonstrate that the exceptions contemplated in Article 46(2) are applicable."</w:t>
      </w:r>
      <w:bookmarkStart w:id="2" w:name="_Hlk93663403"/>
      <w:r w:rsidRPr="0046098E">
        <w:rPr>
          <w:rStyle w:val="FootnoteReference"/>
          <w:rFonts w:ascii="Cambria" w:hAnsi="Cambria"/>
          <w:sz w:val="20"/>
          <w:szCs w:val="20"/>
          <w:lang w:val="es-ES_tradnl"/>
        </w:rPr>
        <w:footnoteReference w:id="8"/>
      </w:r>
      <w:r w:rsidRPr="0046098E">
        <w:rPr>
          <w:rFonts w:ascii="Cambria" w:hAnsi="Cambria"/>
          <w:sz w:val="20"/>
        </w:rPr>
        <w:t>.</w:t>
      </w:r>
      <w:bookmarkEnd w:id="2"/>
    </w:p>
    <w:p w14:paraId="7DBE7355" w14:textId="22A3ACD2" w:rsidR="00A200D6" w:rsidRPr="0046098E" w:rsidRDefault="00A200D6" w:rsidP="00E20A73">
      <w:pPr>
        <w:pStyle w:val="Default"/>
        <w:spacing w:after="0" w:line="240" w:lineRule="auto"/>
        <w:jc w:val="both"/>
        <w:rPr>
          <w:rFonts w:ascii="Cambria" w:hAnsi="Cambria" w:cs="Arial"/>
          <w:sz w:val="20"/>
          <w:szCs w:val="20"/>
          <w:lang w:val="es-ES_tradnl"/>
        </w:rPr>
      </w:pPr>
    </w:p>
    <w:p w14:paraId="653F5279" w14:textId="2785D5E0" w:rsidR="003F6E68" w:rsidRPr="0046098E" w:rsidRDefault="00A200D6"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In the instant case, the State has indicated that the appeal before the Central American Court was established by Honduras and the other SICA member States as the appropriate mechanism for individuals who considered that their labor rights had been impaired by COCESNA. In addition, the State has sent an official letter in which COCESNA recognizes the competence of the Central American Court to resolve disputes with its personnel in a final and binding manner, and an advisory opinion in which the Central American Court reaffirms its ultimate instance competence in disputes related to administrative resolutions on the personnel of SICA agencies. </w:t>
      </w:r>
    </w:p>
    <w:p w14:paraId="246821D2" w14:textId="77777777" w:rsidR="003F6E68" w:rsidRPr="0046098E" w:rsidRDefault="003F6E68" w:rsidP="00E20A73">
      <w:pPr>
        <w:pStyle w:val="Default"/>
        <w:spacing w:after="0" w:line="240" w:lineRule="auto"/>
        <w:ind w:left="720"/>
        <w:jc w:val="both"/>
        <w:rPr>
          <w:rFonts w:ascii="Cambria" w:hAnsi="Cambria" w:cs="Arial"/>
          <w:sz w:val="20"/>
          <w:szCs w:val="20"/>
        </w:rPr>
      </w:pPr>
    </w:p>
    <w:p w14:paraId="76CE1289" w14:textId="324ECF45" w:rsidR="008028CA" w:rsidRPr="0046098E" w:rsidRDefault="003F6E68"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For his part, the petitioner indicates that the mediation and arbitration procedure with appeal to the Central American Court provided for in COCESNA's Code of Services was not applicable to the alleged victim, because it was designed for cases of administrative investigations and not dismissal. However, the argument that the alleged victim's case does not fall under Article 22.J of the Statute of the Central American Court has not been clearly substantiated. The petitioner has not presented arguments or evidence, nor does it appear from the record, that the appeal before the Central American Court would not have been a suitable mechanism for the alleged victim to obtain redress for the alleged violations of his labor rights. In addition, he has not alleged, nor is it apparent, that the alleged victim was prevented from having access to the remedy before the Central American Court of Justice. </w:t>
      </w:r>
    </w:p>
    <w:p w14:paraId="3DFEF028" w14:textId="18889983" w:rsidR="008028CA" w:rsidRPr="0046098E" w:rsidRDefault="008028CA" w:rsidP="00E20A73">
      <w:pPr>
        <w:pStyle w:val="Default"/>
        <w:spacing w:after="0" w:line="240" w:lineRule="auto"/>
        <w:jc w:val="both"/>
        <w:rPr>
          <w:rFonts w:ascii="Cambria" w:hAnsi="Cambria" w:cs="Arial"/>
          <w:sz w:val="20"/>
          <w:szCs w:val="20"/>
        </w:rPr>
      </w:pPr>
    </w:p>
    <w:p w14:paraId="0A701E6B" w14:textId="0CA46DFD" w:rsidR="00507164" w:rsidRPr="0046098E" w:rsidRDefault="000A4A88" w:rsidP="00906047">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At the same time, the Inter-American Commission considers that the domestic courts addressed all the judicial remedies filed by the alleged victim, and that in all instances they provided a legal response to his claims, within a reasonable period of time. No actions are alleged or observed that </w:t>
      </w:r>
      <w:r w:rsidRPr="0046098E">
        <w:rPr>
          <w:rFonts w:ascii="Cambria" w:hAnsi="Cambria"/>
          <w:i/>
          <w:sz w:val="20"/>
        </w:rPr>
        <w:t>prima facie</w:t>
      </w:r>
      <w:r w:rsidRPr="0046098E">
        <w:rPr>
          <w:rFonts w:ascii="Cambria" w:hAnsi="Cambria"/>
          <w:sz w:val="20"/>
        </w:rPr>
        <w:t xml:space="preserve"> could be in violation of the rights established in the American Convention. </w:t>
      </w:r>
    </w:p>
    <w:p w14:paraId="1B1C4D77" w14:textId="77777777" w:rsidR="00AB348D" w:rsidRPr="0046098E" w:rsidRDefault="00AB348D" w:rsidP="00AB348D">
      <w:pPr>
        <w:pStyle w:val="Default"/>
        <w:spacing w:after="0" w:line="240" w:lineRule="auto"/>
        <w:ind w:left="720"/>
        <w:jc w:val="both"/>
        <w:rPr>
          <w:rFonts w:ascii="Cambria" w:hAnsi="Cambria" w:cs="Arial"/>
          <w:sz w:val="20"/>
          <w:szCs w:val="20"/>
        </w:rPr>
      </w:pPr>
    </w:p>
    <w:p w14:paraId="4DBD7F62" w14:textId="27D49DCE" w:rsidR="00507164" w:rsidRPr="0046098E" w:rsidRDefault="00507164" w:rsidP="00E20A73">
      <w:pPr>
        <w:pStyle w:val="Default"/>
        <w:numPr>
          <w:ilvl w:val="0"/>
          <w:numId w:val="55"/>
        </w:numPr>
        <w:spacing w:after="0" w:line="240" w:lineRule="auto"/>
        <w:jc w:val="both"/>
        <w:rPr>
          <w:rFonts w:ascii="Cambria" w:hAnsi="Cambria" w:cs="Arial"/>
          <w:sz w:val="20"/>
          <w:szCs w:val="20"/>
        </w:rPr>
      </w:pPr>
      <w:r w:rsidRPr="0046098E">
        <w:rPr>
          <w:rFonts w:ascii="Cambria" w:hAnsi="Cambria"/>
          <w:sz w:val="20"/>
        </w:rPr>
        <w:t xml:space="preserve">For the foregoing reasons, the Commission concludes that the instant petition does not meet the requirement of Article 46(1)(a) of the American Convention.  </w:t>
      </w:r>
    </w:p>
    <w:p w14:paraId="7399C80C" w14:textId="188D11E9" w:rsidR="002E39B1" w:rsidRPr="0046098E" w:rsidRDefault="002E39B1" w:rsidP="00E20A73">
      <w:pPr>
        <w:pStyle w:val="Default"/>
        <w:spacing w:after="0" w:line="240" w:lineRule="auto"/>
        <w:jc w:val="both"/>
        <w:rPr>
          <w:rFonts w:ascii="Cambria" w:hAnsi="Cambria" w:cs="Arial"/>
          <w:sz w:val="20"/>
          <w:szCs w:val="20"/>
        </w:rPr>
      </w:pPr>
    </w:p>
    <w:p w14:paraId="0B6BF156" w14:textId="508E8468" w:rsidR="0037742A" w:rsidRPr="0046098E" w:rsidRDefault="0037742A" w:rsidP="00E20A73">
      <w:pPr>
        <w:pStyle w:val="Default"/>
        <w:spacing w:after="0" w:line="240" w:lineRule="auto"/>
        <w:ind w:left="720"/>
        <w:rPr>
          <w:rFonts w:ascii="Cambria" w:hAnsi="Cambria"/>
          <w:b/>
          <w:bCs/>
          <w:color w:val="auto"/>
          <w:sz w:val="20"/>
          <w:szCs w:val="20"/>
        </w:rPr>
      </w:pPr>
      <w:r w:rsidRPr="0046098E">
        <w:rPr>
          <w:rFonts w:ascii="Cambria" w:hAnsi="Cambria"/>
          <w:b/>
          <w:sz w:val="20"/>
        </w:rPr>
        <w:t>VII.</w:t>
      </w:r>
      <w:r w:rsidRPr="0046098E">
        <w:rPr>
          <w:rFonts w:ascii="Cambria" w:hAnsi="Cambria"/>
          <w:b/>
          <w:sz w:val="20"/>
        </w:rPr>
        <w:tab/>
      </w:r>
      <w:r w:rsidRPr="0046098E">
        <w:rPr>
          <w:rFonts w:ascii="Cambria" w:hAnsi="Cambria"/>
          <w:b/>
          <w:color w:val="auto"/>
          <w:sz w:val="20"/>
        </w:rPr>
        <w:t>DECISION</w:t>
      </w:r>
    </w:p>
    <w:p w14:paraId="067A6473" w14:textId="77777777" w:rsidR="000A4A88" w:rsidRPr="0046098E" w:rsidRDefault="000A4A88" w:rsidP="00E20A73">
      <w:pPr>
        <w:pStyle w:val="Default"/>
        <w:spacing w:after="0" w:line="240" w:lineRule="auto"/>
        <w:ind w:left="720"/>
        <w:rPr>
          <w:rFonts w:ascii="Cambria" w:hAnsi="Cambria"/>
          <w:b/>
          <w:bCs/>
          <w:color w:val="auto"/>
          <w:sz w:val="20"/>
          <w:szCs w:val="20"/>
          <w:lang w:val="es-ES_tradnl"/>
        </w:rPr>
      </w:pPr>
    </w:p>
    <w:p w14:paraId="47162D9C" w14:textId="08756E15" w:rsidR="0037742A" w:rsidRPr="0046098E" w:rsidRDefault="0037742A" w:rsidP="00E20A73">
      <w:pPr>
        <w:numPr>
          <w:ilvl w:val="0"/>
          <w:numId w:val="61"/>
        </w:numPr>
        <w:suppressAutoHyphens/>
        <w:spacing w:after="0" w:line="240" w:lineRule="auto"/>
        <w:jc w:val="both"/>
        <w:rPr>
          <w:rFonts w:ascii="Cambria" w:hAnsi="Cambria"/>
          <w:sz w:val="20"/>
          <w:szCs w:val="20"/>
        </w:rPr>
      </w:pPr>
      <w:r w:rsidRPr="0046098E">
        <w:rPr>
          <w:rFonts w:ascii="Cambria" w:hAnsi="Cambria"/>
          <w:sz w:val="20"/>
        </w:rPr>
        <w:t>To declare the present petition inadmissible based on Articles 46.1 (a) and 47 (a) of the American Convention</w:t>
      </w:r>
      <w:r w:rsidR="00890F2B">
        <w:rPr>
          <w:rFonts w:ascii="Cambria" w:hAnsi="Cambria"/>
          <w:sz w:val="20"/>
        </w:rPr>
        <w:t>; and</w:t>
      </w:r>
    </w:p>
    <w:p w14:paraId="508DC1FC" w14:textId="77777777" w:rsidR="0001561E" w:rsidRPr="0046098E" w:rsidRDefault="0001561E" w:rsidP="00E20A73">
      <w:pPr>
        <w:suppressAutoHyphens/>
        <w:spacing w:after="0" w:line="240" w:lineRule="auto"/>
        <w:jc w:val="both"/>
        <w:rPr>
          <w:rFonts w:ascii="Cambria" w:hAnsi="Cambria"/>
          <w:sz w:val="20"/>
          <w:szCs w:val="20"/>
        </w:rPr>
      </w:pPr>
    </w:p>
    <w:p w14:paraId="0FB58CA1" w14:textId="354C52BE" w:rsidR="0037742A" w:rsidRPr="00890F2B" w:rsidRDefault="0037742A" w:rsidP="00E20A73">
      <w:pPr>
        <w:numPr>
          <w:ilvl w:val="0"/>
          <w:numId w:val="61"/>
        </w:numPr>
        <w:suppressAutoHyphens/>
        <w:spacing w:after="0" w:line="240" w:lineRule="auto"/>
        <w:jc w:val="both"/>
        <w:rPr>
          <w:rFonts w:ascii="Cambria" w:hAnsi="Cambria"/>
          <w:sz w:val="20"/>
          <w:szCs w:val="20"/>
        </w:rPr>
      </w:pPr>
      <w:r w:rsidRPr="0046098E">
        <w:rPr>
          <w:rFonts w:ascii="Cambria" w:hAnsi="Cambria"/>
          <w:sz w:val="20"/>
        </w:rPr>
        <w:t>To notify the parties of this decision; and to publish this decision and include it in its Annual Report to the General Assembly of the Organization of American States.</w:t>
      </w:r>
    </w:p>
    <w:p w14:paraId="1BFAC107" w14:textId="77777777" w:rsidR="00890F2B" w:rsidRDefault="00890F2B" w:rsidP="00890F2B">
      <w:pPr>
        <w:suppressAutoHyphens/>
        <w:spacing w:after="0" w:line="240" w:lineRule="auto"/>
        <w:ind w:left="720"/>
        <w:jc w:val="both"/>
        <w:rPr>
          <w:rFonts w:ascii="Cambria" w:hAnsi="Cambria"/>
          <w:sz w:val="20"/>
          <w:szCs w:val="20"/>
        </w:rPr>
      </w:pPr>
    </w:p>
    <w:p w14:paraId="1B592B2E" w14:textId="5F4C2CE9" w:rsidR="00294E51" w:rsidRDefault="00294E51" w:rsidP="00294E51">
      <w:pPr>
        <w:suppressAutoHyphens/>
        <w:ind w:firstLine="720"/>
        <w:jc w:val="both"/>
        <w:rPr>
          <w:rFonts w:ascii="Cambria" w:hAnsi="Cambria"/>
          <w:spacing w:val="-2"/>
          <w:sz w:val="20"/>
        </w:rPr>
      </w:pPr>
      <w:bookmarkStart w:id="3"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9</w:t>
      </w:r>
      <w:r w:rsidRPr="00294E51">
        <w:rPr>
          <w:rFonts w:ascii="Cambria" w:hAnsi="Cambria"/>
          <w:spacing w:val="-2"/>
          <w:sz w:val="20"/>
          <w:vertAlign w:val="superscript"/>
        </w:rPr>
        <w:t>th</w:t>
      </w:r>
      <w:r>
        <w:rPr>
          <w:rFonts w:ascii="Cambria" w:hAnsi="Cambria"/>
          <w:spacing w:val="-2"/>
          <w:sz w:val="20"/>
        </w:rPr>
        <w:t xml:space="preserve"> </w:t>
      </w:r>
      <w:r w:rsidRPr="00B76FE0">
        <w:rPr>
          <w:rFonts w:ascii="Cambria" w:hAnsi="Cambria"/>
          <w:spacing w:val="-2"/>
          <w:sz w:val="20"/>
        </w:rPr>
        <w:t xml:space="preserve">day of the month of </w:t>
      </w:r>
      <w:r>
        <w:rPr>
          <w:rFonts w:ascii="Cambria" w:hAnsi="Cambria"/>
          <w:spacing w:val="-2"/>
          <w:sz w:val="20"/>
        </w:rPr>
        <w:t>May</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w:t>
      </w:r>
      <w:r w:rsidRPr="00F9365E">
        <w:rPr>
          <w:rFonts w:ascii="Cambria" w:hAnsi="Cambria"/>
          <w:sz w:val="20"/>
        </w:rPr>
        <w:t xml:space="preserve"> </w:t>
      </w:r>
      <w:r>
        <w:rPr>
          <w:rFonts w:ascii="Cambria" w:hAnsi="Cambria"/>
          <w:sz w:val="20"/>
        </w:rPr>
        <w:t>Roberta Clarke, and Carlos Bernal Pulido</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3"/>
    <w:p w14:paraId="38EAB0FD" w14:textId="77777777" w:rsidR="00890F2B" w:rsidRPr="0046098E" w:rsidRDefault="00890F2B" w:rsidP="00890F2B">
      <w:pPr>
        <w:suppressAutoHyphens/>
        <w:spacing w:after="0" w:line="240" w:lineRule="auto"/>
        <w:ind w:left="720"/>
        <w:jc w:val="both"/>
        <w:rPr>
          <w:rFonts w:ascii="Cambria" w:hAnsi="Cambria"/>
          <w:sz w:val="20"/>
          <w:szCs w:val="20"/>
        </w:rPr>
      </w:pPr>
    </w:p>
    <w:sectPr w:rsidR="00890F2B" w:rsidRPr="0046098E"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8BC1" w14:textId="77777777" w:rsidR="00344857" w:rsidRDefault="00344857">
      <w:r>
        <w:separator/>
      </w:r>
    </w:p>
  </w:endnote>
  <w:endnote w:type="continuationSeparator" w:id="0">
    <w:p w14:paraId="318C09BE" w14:textId="77777777" w:rsidR="00344857" w:rsidRDefault="0034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89E9" w14:textId="1A8EE87B" w:rsidR="00DF4939" w:rsidRPr="00934A2C" w:rsidRDefault="00DF4939">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sidR="00D44723">
      <w:rPr>
        <w:sz w:val="16"/>
      </w:rPr>
      <w:t>5</w:t>
    </w:r>
    <w:r w:rsidRPr="00934A2C">
      <w:rPr>
        <w:sz w:val="16"/>
      </w:rPr>
      <w:fldChar w:fldCharType="end"/>
    </w:r>
  </w:p>
  <w:p w14:paraId="2DADABF4" w14:textId="77777777" w:rsidR="00DF4939" w:rsidRDefault="00DF4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50EF" w14:textId="77777777" w:rsidR="00DF4939" w:rsidRPr="00934A2C" w:rsidRDefault="00DF4939">
    <w:pPr>
      <w:pStyle w:val="Footer"/>
      <w:jc w:val="center"/>
      <w:rPr>
        <w:sz w:val="16"/>
      </w:rPr>
    </w:pPr>
  </w:p>
  <w:p w14:paraId="5C4DE85E" w14:textId="77777777" w:rsidR="00DF4939" w:rsidRDefault="00DF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C676" w14:textId="77777777" w:rsidR="00344857" w:rsidRPr="003B6DA0" w:rsidRDefault="00344857" w:rsidP="003B6DA0">
      <w:pPr>
        <w:pStyle w:val="Footer"/>
      </w:pPr>
      <w:r>
        <w:separator/>
      </w:r>
    </w:p>
  </w:footnote>
  <w:footnote w:type="continuationSeparator" w:id="0">
    <w:p w14:paraId="17B6435C" w14:textId="77777777" w:rsidR="00344857" w:rsidRPr="000F35ED" w:rsidRDefault="00344857" w:rsidP="000F35ED">
      <w:pPr>
        <w:rPr>
          <w:rFonts w:ascii="Cambria" w:hAnsi="Cambria"/>
          <w:sz w:val="16"/>
          <w:szCs w:val="16"/>
        </w:rPr>
      </w:pPr>
      <w:r w:rsidRPr="000F35ED">
        <w:rPr>
          <w:rFonts w:ascii="Cambria" w:hAnsi="Cambria"/>
          <w:sz w:val="16"/>
          <w:szCs w:val="16"/>
        </w:rPr>
        <w:separator/>
      </w:r>
    </w:p>
    <w:p w14:paraId="4642EEF2" w14:textId="77777777" w:rsidR="00344857" w:rsidRPr="000F35ED" w:rsidRDefault="00344857" w:rsidP="000F35ED">
      <w:pPr>
        <w:pStyle w:val="Footer"/>
        <w:rPr>
          <w:sz w:val="16"/>
          <w:szCs w:val="16"/>
        </w:rPr>
      </w:pPr>
      <w:r>
        <w:rPr>
          <w:sz w:val="16"/>
          <w:szCs w:val="16"/>
        </w:rPr>
        <w:t>[… c</w:t>
      </w:r>
      <w:r w:rsidRPr="000F35ED">
        <w:rPr>
          <w:sz w:val="16"/>
          <w:szCs w:val="16"/>
        </w:rPr>
        <w:t>ontinuation</w:t>
      </w:r>
      <w:r>
        <w:rPr>
          <w:sz w:val="16"/>
          <w:szCs w:val="16"/>
        </w:rPr>
        <w:t>]</w:t>
      </w:r>
    </w:p>
  </w:footnote>
  <w:footnote w:type="continuationNotice" w:id="1">
    <w:p w14:paraId="6EA30CFD" w14:textId="77777777" w:rsidR="00344857" w:rsidRPr="000F35ED" w:rsidRDefault="00344857" w:rsidP="000F35ED">
      <w:pP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2AE69288" w14:textId="3EEF2721" w:rsidR="00DF4939" w:rsidRPr="00011667" w:rsidRDefault="00DF4939" w:rsidP="00866563">
      <w:pPr>
        <w:tabs>
          <w:tab w:val="left" w:pos="900"/>
        </w:tabs>
        <w:spacing w:after="0" w:line="240" w:lineRule="auto"/>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Hereinafter the “American Convention.”  </w:t>
      </w:r>
    </w:p>
  </w:footnote>
  <w:footnote w:id="3">
    <w:p w14:paraId="4A3C6883" w14:textId="7F484895" w:rsidR="00DF4939" w:rsidRPr="00011667" w:rsidRDefault="00DF4939" w:rsidP="00866563">
      <w:pPr>
        <w:tabs>
          <w:tab w:val="left" w:pos="900"/>
        </w:tabs>
        <w:spacing w:after="0" w:line="240" w:lineRule="auto"/>
        <w:ind w:firstLine="720"/>
        <w:jc w:val="both"/>
        <w:rPr>
          <w:rFonts w:asciiTheme="majorHAnsi" w:hAnsiTheme="majorHAnsi"/>
          <w:sz w:val="16"/>
          <w:szCs w:val="16"/>
        </w:rPr>
      </w:pPr>
      <w:r>
        <w:rPr>
          <w:rStyle w:val="FootnoteReference"/>
          <w:rFonts w:asciiTheme="majorHAnsi" w:hAnsiTheme="majorHAnsi"/>
          <w:sz w:val="16"/>
          <w:szCs w:val="16"/>
        </w:rPr>
        <w:footnoteRef/>
      </w:r>
      <w:r w:rsidR="00866563">
        <w:rPr>
          <w:rFonts w:asciiTheme="majorHAnsi" w:hAnsiTheme="majorHAnsi"/>
          <w:sz w:val="16"/>
        </w:rPr>
        <w:t xml:space="preserve"> </w:t>
      </w:r>
      <w:r>
        <w:rPr>
          <w:rFonts w:asciiTheme="majorHAnsi" w:hAnsiTheme="majorHAnsi"/>
          <w:sz w:val="16"/>
        </w:rPr>
        <w:t>Articles 2, 7, 8, 16, 25, and 26 of the Universal Declaration Human Rights</w:t>
      </w:r>
      <w:r>
        <w:t>.</w:t>
      </w:r>
      <w:r>
        <w:rPr>
          <w:rFonts w:asciiTheme="majorHAnsi" w:hAnsiTheme="majorHAnsi"/>
          <w:sz w:val="16"/>
        </w:rPr>
        <w:t xml:space="preserve"> </w:t>
      </w:r>
    </w:p>
  </w:footnote>
  <w:footnote w:id="4">
    <w:p w14:paraId="6A903715" w14:textId="131579F0" w:rsidR="00DF4939" w:rsidRPr="00011667" w:rsidRDefault="00DF4939" w:rsidP="00866563">
      <w:pPr>
        <w:tabs>
          <w:tab w:val="left" w:pos="900"/>
        </w:tabs>
        <w:spacing w:after="0" w:line="240" w:lineRule="auto"/>
        <w:ind w:firstLine="720"/>
        <w:jc w:val="both"/>
        <w:rPr>
          <w:rFonts w:asciiTheme="majorHAnsi" w:hAnsiTheme="majorHAnsi"/>
          <w:sz w:val="16"/>
          <w:szCs w:val="16"/>
        </w:rPr>
      </w:pPr>
      <w:r>
        <w:rPr>
          <w:rStyle w:val="FootnoteReference"/>
          <w:rFonts w:asciiTheme="majorHAnsi" w:hAnsiTheme="majorHAnsi"/>
          <w:sz w:val="16"/>
          <w:szCs w:val="16"/>
        </w:rPr>
        <w:footnoteRef/>
      </w:r>
      <w:r w:rsidR="00866563">
        <w:rPr>
          <w:rFonts w:asciiTheme="majorHAnsi" w:hAnsiTheme="majorHAnsi"/>
          <w:sz w:val="16"/>
        </w:rPr>
        <w:t xml:space="preserve"> </w:t>
      </w:r>
      <w:r>
        <w:rPr>
          <w:rFonts w:asciiTheme="majorHAnsi" w:hAnsiTheme="majorHAnsi"/>
          <w:sz w:val="16"/>
        </w:rPr>
        <w:t>The observations of either party were duly forwarded to the opposing party.</w:t>
      </w:r>
    </w:p>
  </w:footnote>
  <w:footnote w:id="5">
    <w:p w14:paraId="01443673" w14:textId="39CB291F" w:rsidR="0001561E" w:rsidRPr="00011667" w:rsidRDefault="0001561E" w:rsidP="00011667">
      <w:pPr>
        <w:spacing w:after="120" w:line="240" w:lineRule="auto"/>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In said decision, the Court determined that "the appellant institution enjoys jurisdictional immunity; for anyone entering into a contract of any kind with the agency, any claim against this agency, of any nature, </w:t>
      </w:r>
      <w:r>
        <w:rPr>
          <w:rFonts w:asciiTheme="majorHAnsi" w:hAnsiTheme="majorHAnsi"/>
          <w:sz w:val="16"/>
          <w:bdr w:val="nil"/>
        </w:rPr>
        <w:t>must</w:t>
      </w:r>
      <w:r>
        <w:rPr>
          <w:rFonts w:asciiTheme="majorHAnsi" w:hAnsiTheme="majorHAnsi"/>
          <w:sz w:val="16"/>
        </w:rPr>
        <w:t xml:space="preserve"> be processed through diplomatic channels" and that "any labor claim must be handled by the Secretariat of Labor and Social Security and transferred through the Secretariat of Foreign Affairs."</w:t>
      </w:r>
    </w:p>
  </w:footnote>
  <w:footnote w:id="6">
    <w:p w14:paraId="4BA210CE" w14:textId="50259B87" w:rsidR="002B6F88" w:rsidRPr="00011667" w:rsidRDefault="002B6F88" w:rsidP="00011667">
      <w:pPr>
        <w:pStyle w:val="FootnoteText"/>
        <w:spacing w:after="120" w:line="240" w:lineRule="auto"/>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That file refers to the case of an individual who filed an amparo action after the labor courts declined jurisdiction to hear that person’s claim against COCESNA. The Supreme Court granted the requested amparo and recognized the competence of the Honduran labor courts to hear the case, stating that "immunities must be express and limited and are subject to restrictive interpretation; consequently, if the Vienna Convention had intended to establish immunity in relation to labor or work-related jurisdiction, it would have  expressly provided for that option”; and that COCESNA's bylaws established that "the personnel of the Corporation shall be governed by the Code of Services, by the in-house work-related rules of procedure and by the labor laws of the place where they render their services."</w:t>
      </w:r>
    </w:p>
  </w:footnote>
  <w:footnote w:id="7">
    <w:p w14:paraId="416DC1FD" w14:textId="3B8BFD48" w:rsidR="00011667" w:rsidRPr="00011667" w:rsidRDefault="00011667" w:rsidP="00011667">
      <w:pPr>
        <w:pStyle w:val="Default"/>
        <w:spacing w:after="120" w:line="240" w:lineRule="auto"/>
        <w:jc w:val="both"/>
        <w:rPr>
          <w:rFonts w:asciiTheme="majorHAnsi" w:hAnsiTheme="majorHAnsi" w:cs="Arial"/>
          <w:sz w:val="16"/>
          <w:szCs w:val="16"/>
        </w:rPr>
      </w:pPr>
      <w:r>
        <w:rPr>
          <w:rFonts w:asciiTheme="majorHAnsi" w:hAnsiTheme="majorHAnsi"/>
          <w:sz w:val="16"/>
        </w:rPr>
        <w:tab/>
      </w:r>
      <w:r>
        <w:rPr>
          <w:rStyle w:val="FootnoteReference"/>
          <w:rFonts w:asciiTheme="majorHAnsi" w:hAnsiTheme="majorHAnsi"/>
          <w:sz w:val="16"/>
          <w:szCs w:val="16"/>
        </w:rPr>
        <w:footnoteRef/>
      </w:r>
      <w:r>
        <w:rPr>
          <w:rFonts w:asciiTheme="majorHAnsi" w:hAnsiTheme="majorHAnsi"/>
          <w:sz w:val="16"/>
        </w:rPr>
        <w:t xml:space="preserve"> Along with COCESNA's official letter, the State encloses a copy of Advisory Opinion 6-13-6-2019 in which the Central American Court cites its previous jurisprudence, as </w:t>
      </w:r>
      <w:r w:rsidR="00717CAE">
        <w:rPr>
          <w:rFonts w:asciiTheme="majorHAnsi" w:hAnsiTheme="majorHAnsi"/>
          <w:sz w:val="16"/>
        </w:rPr>
        <w:t>follows:</w:t>
      </w:r>
      <w:r>
        <w:rPr>
          <w:rFonts w:asciiTheme="majorHAnsi" w:hAnsiTheme="majorHAnsi"/>
          <w:sz w:val="16"/>
        </w:rPr>
        <w:t xml:space="preserve"> </w:t>
      </w:r>
    </w:p>
    <w:p w14:paraId="6DA5F0D1" w14:textId="7253ED93" w:rsidR="00011667" w:rsidRPr="00011667" w:rsidRDefault="00011667" w:rsidP="00011667">
      <w:pPr>
        <w:pStyle w:val="Default"/>
        <w:spacing w:after="120" w:line="240" w:lineRule="auto"/>
        <w:ind w:left="720" w:right="720"/>
        <w:jc w:val="both"/>
        <w:rPr>
          <w:rFonts w:asciiTheme="majorHAnsi" w:hAnsiTheme="majorHAnsi" w:cs="Arial"/>
          <w:sz w:val="16"/>
          <w:szCs w:val="16"/>
        </w:rPr>
      </w:pPr>
      <w:r>
        <w:rPr>
          <w:rFonts w:asciiTheme="majorHAnsi" w:hAnsiTheme="majorHAnsi"/>
          <w:sz w:val="16"/>
        </w:rPr>
        <w:t xml:space="preserve">[A]rticle 180 of COCESNA's Services Code, referring to the competence of the Central American Court of Justice, establishes: ‘Any party that is dissatisfied with the Award and therefore affected in his or her claims, may appeal to the Central American Court of Justice as a sole instance organ of permanent, compulsory, and exclusive jurisdiction, whose judgments are binding; therefore its regional jurisdiction and competence are mandatory and must be respected. </w:t>
      </w:r>
    </w:p>
  </w:footnote>
  <w:footnote w:id="8">
    <w:p w14:paraId="70A33691" w14:textId="79A4709E" w:rsidR="00A200D6" w:rsidRPr="00011667" w:rsidRDefault="00A200D6" w:rsidP="00011667">
      <w:pPr>
        <w:spacing w:after="120" w:line="240" w:lineRule="auto"/>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I/A Court H.R. Exceptions to the Exhaustion of Domestic Remedies (Articles 46(1), 46(2)(a) and 46(2)(b) of the American Convention on Human Rights). Advisory Opinion OC-11/90 of August 10, 1990, par.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58D8" w14:textId="77777777" w:rsidR="00DF4939" w:rsidRDefault="00DF4939" w:rsidP="00F524A3">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094D5F11" w14:textId="77777777" w:rsidR="00DF4939" w:rsidRDefault="00DF4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D888" w14:textId="77777777" w:rsidR="007F1237" w:rsidRDefault="007F1237" w:rsidP="007F1237">
    <w:pPr>
      <w:pStyle w:val="Header"/>
      <w:tabs>
        <w:tab w:val="clear" w:pos="4320"/>
        <w:tab w:val="clear" w:pos="8640"/>
      </w:tabs>
      <w:spacing w:after="0" w:line="240" w:lineRule="auto"/>
      <w:jc w:val="center"/>
    </w:pPr>
    <w:r>
      <w:rPr>
        <w:noProof/>
      </w:rPr>
      <w:drawing>
        <wp:inline distT="0" distB="0" distL="0" distR="0" wp14:anchorId="67C620FB" wp14:editId="36EC2E4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0048099" w14:textId="77777777" w:rsidR="007F1237" w:rsidRDefault="00AF6BEC" w:rsidP="007F1237">
    <w:pPr>
      <w:pStyle w:val="Header"/>
      <w:spacing w:after="0" w:line="240" w:lineRule="auto"/>
    </w:pPr>
    <w:r>
      <w:pict w14:anchorId="7397093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E5F"/>
    <w:multiLevelType w:val="hybridMultilevel"/>
    <w:tmpl w:val="C3205ACA"/>
    <w:lvl w:ilvl="0" w:tplc="59AA5854">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AA7E17AC"/>
    <w:lvl w:ilvl="0" w:tplc="8EEEDFA6">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385B60"/>
    <w:multiLevelType w:val="hybridMultilevel"/>
    <w:tmpl w:val="8422796E"/>
    <w:lvl w:ilvl="0" w:tplc="AC3047C2">
      <w:start w:val="15"/>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7CB0D48"/>
    <w:multiLevelType w:val="hybridMultilevel"/>
    <w:tmpl w:val="435A58F2"/>
    <w:lvl w:ilvl="0" w:tplc="92FA16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15:restartNumberingAfterBreak="0">
    <w:nsid w:val="51D76239"/>
    <w:multiLevelType w:val="multilevel"/>
    <w:tmpl w:val="AA7E17AC"/>
    <w:lvl w:ilvl="0">
      <w:start w:val="1"/>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5DAA001E"/>
    <w:multiLevelType w:val="hybridMultilevel"/>
    <w:tmpl w:val="7862AFFA"/>
    <w:lvl w:ilvl="0" w:tplc="5B20707C">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0786ED7"/>
    <w:multiLevelType w:val="hybridMultilevel"/>
    <w:tmpl w:val="0004DB54"/>
    <w:lvl w:ilvl="0" w:tplc="69020C3E">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7EC680E"/>
    <w:multiLevelType w:val="hybridMultilevel"/>
    <w:tmpl w:val="68562832"/>
    <w:lvl w:ilvl="0" w:tplc="60643A90">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16cid:durableId="1770390498">
    <w:abstractNumId w:val="4"/>
  </w:num>
  <w:num w:numId="2" w16cid:durableId="649478582">
    <w:abstractNumId w:val="6"/>
  </w:num>
  <w:num w:numId="3" w16cid:durableId="1865289495">
    <w:abstractNumId w:val="57"/>
  </w:num>
  <w:num w:numId="4" w16cid:durableId="1647976276">
    <w:abstractNumId w:val="23"/>
  </w:num>
  <w:num w:numId="5" w16cid:durableId="1548368683">
    <w:abstractNumId w:val="50"/>
  </w:num>
  <w:num w:numId="6" w16cid:durableId="505244128">
    <w:abstractNumId w:val="28"/>
  </w:num>
  <w:num w:numId="7" w16cid:durableId="1738746205">
    <w:abstractNumId w:val="7"/>
  </w:num>
  <w:num w:numId="8" w16cid:durableId="1152873955">
    <w:abstractNumId w:val="18"/>
  </w:num>
  <w:num w:numId="9" w16cid:durableId="2017922882">
    <w:abstractNumId w:val="44"/>
  </w:num>
  <w:num w:numId="10" w16cid:durableId="1437749987">
    <w:abstractNumId w:val="1"/>
  </w:num>
  <w:num w:numId="11" w16cid:durableId="791557727">
    <w:abstractNumId w:val="38"/>
  </w:num>
  <w:num w:numId="12" w16cid:durableId="958027238">
    <w:abstractNumId w:val="39"/>
  </w:num>
  <w:num w:numId="13" w16cid:durableId="287317432">
    <w:abstractNumId w:val="46"/>
  </w:num>
  <w:num w:numId="14" w16cid:durableId="2139831086">
    <w:abstractNumId w:val="2"/>
  </w:num>
  <w:num w:numId="15" w16cid:durableId="1463965727">
    <w:abstractNumId w:val="3"/>
  </w:num>
  <w:num w:numId="16" w16cid:durableId="2001034651">
    <w:abstractNumId w:val="8"/>
  </w:num>
  <w:num w:numId="17" w16cid:durableId="1601182591">
    <w:abstractNumId w:val="9"/>
  </w:num>
  <w:num w:numId="18" w16cid:durableId="414671255">
    <w:abstractNumId w:val="10"/>
  </w:num>
  <w:num w:numId="19" w16cid:durableId="1275600791">
    <w:abstractNumId w:val="11"/>
  </w:num>
  <w:num w:numId="20" w16cid:durableId="463929867">
    <w:abstractNumId w:val="12"/>
  </w:num>
  <w:num w:numId="21" w16cid:durableId="579606555">
    <w:abstractNumId w:val="13"/>
  </w:num>
  <w:num w:numId="22" w16cid:durableId="1654407327">
    <w:abstractNumId w:val="14"/>
  </w:num>
  <w:num w:numId="23" w16cid:durableId="1223634672">
    <w:abstractNumId w:val="15"/>
  </w:num>
  <w:num w:numId="24" w16cid:durableId="1100829599">
    <w:abstractNumId w:val="17"/>
  </w:num>
  <w:num w:numId="25" w16cid:durableId="811826400">
    <w:abstractNumId w:val="19"/>
  </w:num>
  <w:num w:numId="26" w16cid:durableId="767193379">
    <w:abstractNumId w:val="20"/>
  </w:num>
  <w:num w:numId="27" w16cid:durableId="750541973">
    <w:abstractNumId w:val="24"/>
  </w:num>
  <w:num w:numId="28" w16cid:durableId="323628060">
    <w:abstractNumId w:val="25"/>
  </w:num>
  <w:num w:numId="29" w16cid:durableId="1246066368">
    <w:abstractNumId w:val="26"/>
  </w:num>
  <w:num w:numId="30" w16cid:durableId="998658646">
    <w:abstractNumId w:val="27"/>
  </w:num>
  <w:num w:numId="31" w16cid:durableId="1854764244">
    <w:abstractNumId w:val="29"/>
  </w:num>
  <w:num w:numId="32" w16cid:durableId="796796914">
    <w:abstractNumId w:val="30"/>
  </w:num>
  <w:num w:numId="33" w16cid:durableId="209848998">
    <w:abstractNumId w:val="31"/>
  </w:num>
  <w:num w:numId="34" w16cid:durableId="1487160158">
    <w:abstractNumId w:val="32"/>
  </w:num>
  <w:num w:numId="35" w16cid:durableId="1384865890">
    <w:abstractNumId w:val="33"/>
  </w:num>
  <w:num w:numId="36" w16cid:durableId="1170484570">
    <w:abstractNumId w:val="34"/>
  </w:num>
  <w:num w:numId="37" w16cid:durableId="1211577092">
    <w:abstractNumId w:val="36"/>
  </w:num>
  <w:num w:numId="38" w16cid:durableId="1700399913">
    <w:abstractNumId w:val="37"/>
  </w:num>
  <w:num w:numId="39" w16cid:durableId="593980306">
    <w:abstractNumId w:val="40"/>
  </w:num>
  <w:num w:numId="40" w16cid:durableId="155852409">
    <w:abstractNumId w:val="41"/>
  </w:num>
  <w:num w:numId="41" w16cid:durableId="99185766">
    <w:abstractNumId w:val="49"/>
  </w:num>
  <w:num w:numId="42" w16cid:durableId="81801345">
    <w:abstractNumId w:val="51"/>
  </w:num>
  <w:num w:numId="43" w16cid:durableId="416246291">
    <w:abstractNumId w:val="52"/>
  </w:num>
  <w:num w:numId="44" w16cid:durableId="661785401">
    <w:abstractNumId w:val="54"/>
  </w:num>
  <w:num w:numId="45" w16cid:durableId="768425910">
    <w:abstractNumId w:val="56"/>
  </w:num>
  <w:num w:numId="46" w16cid:durableId="167596112">
    <w:abstractNumId w:val="58"/>
  </w:num>
  <w:num w:numId="47" w16cid:durableId="782924116">
    <w:abstractNumId w:val="59"/>
  </w:num>
  <w:num w:numId="48" w16cid:durableId="1394544477">
    <w:abstractNumId w:val="60"/>
  </w:num>
  <w:num w:numId="49" w16cid:durableId="974330430">
    <w:abstractNumId w:val="61"/>
  </w:num>
  <w:num w:numId="50" w16cid:durableId="277027445">
    <w:abstractNumId w:val="62"/>
  </w:num>
  <w:num w:numId="51" w16cid:durableId="1767966196">
    <w:abstractNumId w:val="22"/>
  </w:num>
  <w:num w:numId="52" w16cid:durableId="532697014">
    <w:abstractNumId w:val="42"/>
  </w:num>
  <w:num w:numId="53" w16cid:durableId="1307274336">
    <w:abstractNumId w:val="53"/>
  </w:num>
  <w:num w:numId="54" w16cid:durableId="572275971">
    <w:abstractNumId w:val="47"/>
  </w:num>
  <w:num w:numId="55" w16cid:durableId="544368448">
    <w:abstractNumId w:val="5"/>
  </w:num>
  <w:num w:numId="56" w16cid:durableId="860508632">
    <w:abstractNumId w:val="45"/>
  </w:num>
  <w:num w:numId="57" w16cid:durableId="1523667795">
    <w:abstractNumId w:val="16"/>
  </w:num>
  <w:num w:numId="58" w16cid:durableId="796870141">
    <w:abstractNumId w:val="0"/>
  </w:num>
  <w:num w:numId="59" w16cid:durableId="1021198174">
    <w:abstractNumId w:val="55"/>
  </w:num>
  <w:num w:numId="60" w16cid:durableId="778109789">
    <w:abstractNumId w:val="21"/>
  </w:num>
  <w:num w:numId="61" w16cid:durableId="1195465342">
    <w:abstractNumId w:val="48"/>
  </w:num>
  <w:num w:numId="62" w16cid:durableId="992024830">
    <w:abstractNumId w:val="43"/>
  </w:num>
  <w:num w:numId="63" w16cid:durableId="1002775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82542134">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22FDE3-5243-4902-BFAC-9D947B18A533}"/>
    <w:docVar w:name="dgnword-eventsink" w:val="2807787291424"/>
  </w:docVars>
  <w:rsids>
    <w:rsidRoot w:val="006B2D5C"/>
    <w:rsid w:val="0000036F"/>
    <w:rsid w:val="00000384"/>
    <w:rsid w:val="00000CDA"/>
    <w:rsid w:val="0000193D"/>
    <w:rsid w:val="00003793"/>
    <w:rsid w:val="00006E1F"/>
    <w:rsid w:val="000070D7"/>
    <w:rsid w:val="00007F6A"/>
    <w:rsid w:val="00011667"/>
    <w:rsid w:val="0001423C"/>
    <w:rsid w:val="0001489E"/>
    <w:rsid w:val="0001561E"/>
    <w:rsid w:val="00015B5D"/>
    <w:rsid w:val="00016020"/>
    <w:rsid w:val="0001788C"/>
    <w:rsid w:val="00021EC2"/>
    <w:rsid w:val="0002403C"/>
    <w:rsid w:val="00024DED"/>
    <w:rsid w:val="000337EF"/>
    <w:rsid w:val="00033F92"/>
    <w:rsid w:val="00034165"/>
    <w:rsid w:val="00034211"/>
    <w:rsid w:val="000406EF"/>
    <w:rsid w:val="00040C3A"/>
    <w:rsid w:val="00040FFC"/>
    <w:rsid w:val="000419AD"/>
    <w:rsid w:val="000433C9"/>
    <w:rsid w:val="00047772"/>
    <w:rsid w:val="00047C17"/>
    <w:rsid w:val="00053097"/>
    <w:rsid w:val="00053E6D"/>
    <w:rsid w:val="00056AD7"/>
    <w:rsid w:val="00057651"/>
    <w:rsid w:val="0006460B"/>
    <w:rsid w:val="0006676B"/>
    <w:rsid w:val="000716C5"/>
    <w:rsid w:val="00075D34"/>
    <w:rsid w:val="00075E23"/>
    <w:rsid w:val="0007689A"/>
    <w:rsid w:val="000771ED"/>
    <w:rsid w:val="00077C36"/>
    <w:rsid w:val="000830F3"/>
    <w:rsid w:val="0008425C"/>
    <w:rsid w:val="00086443"/>
    <w:rsid w:val="00087E8A"/>
    <w:rsid w:val="0009231E"/>
    <w:rsid w:val="0009344A"/>
    <w:rsid w:val="000A109C"/>
    <w:rsid w:val="000A392E"/>
    <w:rsid w:val="000A3DC8"/>
    <w:rsid w:val="000A4A88"/>
    <w:rsid w:val="000A575F"/>
    <w:rsid w:val="000A5A4C"/>
    <w:rsid w:val="000A6E8A"/>
    <w:rsid w:val="000A7028"/>
    <w:rsid w:val="000B47D2"/>
    <w:rsid w:val="000B490E"/>
    <w:rsid w:val="000B7014"/>
    <w:rsid w:val="000C0FF6"/>
    <w:rsid w:val="000C537B"/>
    <w:rsid w:val="000C6080"/>
    <w:rsid w:val="000D00DB"/>
    <w:rsid w:val="000D0BC1"/>
    <w:rsid w:val="000D10DB"/>
    <w:rsid w:val="000D1333"/>
    <w:rsid w:val="000D15F1"/>
    <w:rsid w:val="000D1A44"/>
    <w:rsid w:val="000D1D67"/>
    <w:rsid w:val="000D3C66"/>
    <w:rsid w:val="000D5A4B"/>
    <w:rsid w:val="000D67B1"/>
    <w:rsid w:val="000E31DF"/>
    <w:rsid w:val="000E31EC"/>
    <w:rsid w:val="000E5EB5"/>
    <w:rsid w:val="000E5F49"/>
    <w:rsid w:val="000E660A"/>
    <w:rsid w:val="000E7BA9"/>
    <w:rsid w:val="000F1317"/>
    <w:rsid w:val="000F2A0E"/>
    <w:rsid w:val="000F35ED"/>
    <w:rsid w:val="000F50B3"/>
    <w:rsid w:val="000F7CA4"/>
    <w:rsid w:val="001007EE"/>
    <w:rsid w:val="00107131"/>
    <w:rsid w:val="0010736F"/>
    <w:rsid w:val="00112C6E"/>
    <w:rsid w:val="00113A49"/>
    <w:rsid w:val="00113F73"/>
    <w:rsid w:val="001211FD"/>
    <w:rsid w:val="00121CC2"/>
    <w:rsid w:val="00122150"/>
    <w:rsid w:val="00124FD0"/>
    <w:rsid w:val="00126EFD"/>
    <w:rsid w:val="0012722C"/>
    <w:rsid w:val="0013063E"/>
    <w:rsid w:val="001310C3"/>
    <w:rsid w:val="00131A7A"/>
    <w:rsid w:val="00133EE5"/>
    <w:rsid w:val="001373DB"/>
    <w:rsid w:val="001412E0"/>
    <w:rsid w:val="0014234F"/>
    <w:rsid w:val="0014362F"/>
    <w:rsid w:val="00143C8D"/>
    <w:rsid w:val="00151C27"/>
    <w:rsid w:val="001529BA"/>
    <w:rsid w:val="00153568"/>
    <w:rsid w:val="0015756A"/>
    <w:rsid w:val="00157F3E"/>
    <w:rsid w:val="001613F6"/>
    <w:rsid w:val="00162581"/>
    <w:rsid w:val="00164F04"/>
    <w:rsid w:val="001657F9"/>
    <w:rsid w:val="00165E08"/>
    <w:rsid w:val="00167A34"/>
    <w:rsid w:val="00173237"/>
    <w:rsid w:val="00174DFB"/>
    <w:rsid w:val="00177890"/>
    <w:rsid w:val="00180A39"/>
    <w:rsid w:val="00181439"/>
    <w:rsid w:val="001843CF"/>
    <w:rsid w:val="00184D87"/>
    <w:rsid w:val="00185590"/>
    <w:rsid w:val="00186271"/>
    <w:rsid w:val="001927AB"/>
    <w:rsid w:val="00192BA0"/>
    <w:rsid w:val="001947F6"/>
    <w:rsid w:val="001A645B"/>
    <w:rsid w:val="001A7870"/>
    <w:rsid w:val="001B3A00"/>
    <w:rsid w:val="001B690F"/>
    <w:rsid w:val="001C160D"/>
    <w:rsid w:val="001C1B41"/>
    <w:rsid w:val="001C1BEB"/>
    <w:rsid w:val="001C4D80"/>
    <w:rsid w:val="001C5C39"/>
    <w:rsid w:val="001C5C7F"/>
    <w:rsid w:val="001C7989"/>
    <w:rsid w:val="001D0112"/>
    <w:rsid w:val="001D2706"/>
    <w:rsid w:val="001D4839"/>
    <w:rsid w:val="001D65EF"/>
    <w:rsid w:val="001D7A59"/>
    <w:rsid w:val="001D7CD5"/>
    <w:rsid w:val="001E21FE"/>
    <w:rsid w:val="001E2524"/>
    <w:rsid w:val="001E259C"/>
    <w:rsid w:val="001E49E7"/>
    <w:rsid w:val="001F0B8B"/>
    <w:rsid w:val="001F1FA3"/>
    <w:rsid w:val="001F7201"/>
    <w:rsid w:val="002004C1"/>
    <w:rsid w:val="00206ACE"/>
    <w:rsid w:val="002146EB"/>
    <w:rsid w:val="0021673A"/>
    <w:rsid w:val="002167C8"/>
    <w:rsid w:val="00220FBB"/>
    <w:rsid w:val="0022230A"/>
    <w:rsid w:val="00223A29"/>
    <w:rsid w:val="00223AA5"/>
    <w:rsid w:val="00223FAC"/>
    <w:rsid w:val="002250A3"/>
    <w:rsid w:val="00235217"/>
    <w:rsid w:val="002403F5"/>
    <w:rsid w:val="00244671"/>
    <w:rsid w:val="00244DAE"/>
    <w:rsid w:val="00246185"/>
    <w:rsid w:val="0024644B"/>
    <w:rsid w:val="00246D1F"/>
    <w:rsid w:val="00247403"/>
    <w:rsid w:val="00247542"/>
    <w:rsid w:val="00255D98"/>
    <w:rsid w:val="00257F75"/>
    <w:rsid w:val="00266B3E"/>
    <w:rsid w:val="00266B61"/>
    <w:rsid w:val="0026710F"/>
    <w:rsid w:val="0026712A"/>
    <w:rsid w:val="00267903"/>
    <w:rsid w:val="002704DB"/>
    <w:rsid w:val="0027159B"/>
    <w:rsid w:val="002765AD"/>
    <w:rsid w:val="002813D6"/>
    <w:rsid w:val="0028269C"/>
    <w:rsid w:val="002845DA"/>
    <w:rsid w:val="0028742F"/>
    <w:rsid w:val="00292982"/>
    <w:rsid w:val="00294E51"/>
    <w:rsid w:val="00295FBB"/>
    <w:rsid w:val="002A0AAE"/>
    <w:rsid w:val="002A4111"/>
    <w:rsid w:val="002A4CDC"/>
    <w:rsid w:val="002A541B"/>
    <w:rsid w:val="002A5820"/>
    <w:rsid w:val="002A6877"/>
    <w:rsid w:val="002B0DD2"/>
    <w:rsid w:val="002B31ED"/>
    <w:rsid w:val="002B4131"/>
    <w:rsid w:val="002B5062"/>
    <w:rsid w:val="002B5209"/>
    <w:rsid w:val="002B6003"/>
    <w:rsid w:val="002B66D5"/>
    <w:rsid w:val="002B6F88"/>
    <w:rsid w:val="002B7408"/>
    <w:rsid w:val="002C5A69"/>
    <w:rsid w:val="002C7AA6"/>
    <w:rsid w:val="002D11B1"/>
    <w:rsid w:val="002D2B26"/>
    <w:rsid w:val="002D3296"/>
    <w:rsid w:val="002D56D6"/>
    <w:rsid w:val="002D7EA2"/>
    <w:rsid w:val="002E0104"/>
    <w:rsid w:val="002E05CC"/>
    <w:rsid w:val="002E187C"/>
    <w:rsid w:val="002E2945"/>
    <w:rsid w:val="002E39B1"/>
    <w:rsid w:val="002E5420"/>
    <w:rsid w:val="002E6596"/>
    <w:rsid w:val="002F2EE3"/>
    <w:rsid w:val="002F3C64"/>
    <w:rsid w:val="002F644E"/>
    <w:rsid w:val="002F75F5"/>
    <w:rsid w:val="00301C5B"/>
    <w:rsid w:val="00302733"/>
    <w:rsid w:val="00304A7F"/>
    <w:rsid w:val="003062E3"/>
    <w:rsid w:val="00310969"/>
    <w:rsid w:val="00310EED"/>
    <w:rsid w:val="00311A84"/>
    <w:rsid w:val="0031297A"/>
    <w:rsid w:val="003136B8"/>
    <w:rsid w:val="00313E94"/>
    <w:rsid w:val="00314078"/>
    <w:rsid w:val="0031535D"/>
    <w:rsid w:val="003170B4"/>
    <w:rsid w:val="00317C7C"/>
    <w:rsid w:val="003225BB"/>
    <w:rsid w:val="003239B8"/>
    <w:rsid w:val="00325E52"/>
    <w:rsid w:val="00327945"/>
    <w:rsid w:val="00327DA7"/>
    <w:rsid w:val="00331304"/>
    <w:rsid w:val="0033169F"/>
    <w:rsid w:val="00335593"/>
    <w:rsid w:val="003377E6"/>
    <w:rsid w:val="00342A24"/>
    <w:rsid w:val="003433A8"/>
    <w:rsid w:val="00344857"/>
    <w:rsid w:val="00344977"/>
    <w:rsid w:val="00346C95"/>
    <w:rsid w:val="00354806"/>
    <w:rsid w:val="003553AB"/>
    <w:rsid w:val="00356185"/>
    <w:rsid w:val="0035786B"/>
    <w:rsid w:val="00360380"/>
    <w:rsid w:val="0036243D"/>
    <w:rsid w:val="00363507"/>
    <w:rsid w:val="003635E5"/>
    <w:rsid w:val="0036390A"/>
    <w:rsid w:val="0036505C"/>
    <w:rsid w:val="00365E52"/>
    <w:rsid w:val="00367F3E"/>
    <w:rsid w:val="0037257F"/>
    <w:rsid w:val="00372A1A"/>
    <w:rsid w:val="00374D22"/>
    <w:rsid w:val="00375151"/>
    <w:rsid w:val="0037519E"/>
    <w:rsid w:val="0037742A"/>
    <w:rsid w:val="0038030F"/>
    <w:rsid w:val="00382507"/>
    <w:rsid w:val="003847C1"/>
    <w:rsid w:val="0038651A"/>
    <w:rsid w:val="00386CF0"/>
    <w:rsid w:val="003935D7"/>
    <w:rsid w:val="00394FC3"/>
    <w:rsid w:val="0039666D"/>
    <w:rsid w:val="00396D28"/>
    <w:rsid w:val="00397F8E"/>
    <w:rsid w:val="003A0F36"/>
    <w:rsid w:val="003A202D"/>
    <w:rsid w:val="003B2755"/>
    <w:rsid w:val="003B5513"/>
    <w:rsid w:val="003B6DA0"/>
    <w:rsid w:val="003B70E6"/>
    <w:rsid w:val="003B70FB"/>
    <w:rsid w:val="003C1991"/>
    <w:rsid w:val="003C1B7C"/>
    <w:rsid w:val="003C36AE"/>
    <w:rsid w:val="003C3C05"/>
    <w:rsid w:val="003C676B"/>
    <w:rsid w:val="003C6830"/>
    <w:rsid w:val="003D228D"/>
    <w:rsid w:val="003D2ABC"/>
    <w:rsid w:val="003D2FD8"/>
    <w:rsid w:val="003D3BC2"/>
    <w:rsid w:val="003D767F"/>
    <w:rsid w:val="003D7C8E"/>
    <w:rsid w:val="003E036D"/>
    <w:rsid w:val="003E0EFE"/>
    <w:rsid w:val="003E36D2"/>
    <w:rsid w:val="003E6BE1"/>
    <w:rsid w:val="003E6CA1"/>
    <w:rsid w:val="003E7AE1"/>
    <w:rsid w:val="003F0BF9"/>
    <w:rsid w:val="003F25F9"/>
    <w:rsid w:val="003F65DA"/>
    <w:rsid w:val="003F6E68"/>
    <w:rsid w:val="003F6E98"/>
    <w:rsid w:val="003F7854"/>
    <w:rsid w:val="00400C84"/>
    <w:rsid w:val="00401920"/>
    <w:rsid w:val="004022A8"/>
    <w:rsid w:val="00402490"/>
    <w:rsid w:val="00402E42"/>
    <w:rsid w:val="00403E46"/>
    <w:rsid w:val="004065A8"/>
    <w:rsid w:val="00407F81"/>
    <w:rsid w:val="0041472D"/>
    <w:rsid w:val="00414C13"/>
    <w:rsid w:val="00415C22"/>
    <w:rsid w:val="004165C2"/>
    <w:rsid w:val="00420A05"/>
    <w:rsid w:val="004216EC"/>
    <w:rsid w:val="004247BC"/>
    <w:rsid w:val="00424E62"/>
    <w:rsid w:val="00424F9E"/>
    <w:rsid w:val="0042631F"/>
    <w:rsid w:val="00427575"/>
    <w:rsid w:val="00427717"/>
    <w:rsid w:val="00430627"/>
    <w:rsid w:val="00430CF9"/>
    <w:rsid w:val="0043204B"/>
    <w:rsid w:val="00432C88"/>
    <w:rsid w:val="0043512C"/>
    <w:rsid w:val="00441ECB"/>
    <w:rsid w:val="00445193"/>
    <w:rsid w:val="00445AE4"/>
    <w:rsid w:val="00447346"/>
    <w:rsid w:val="00450E17"/>
    <w:rsid w:val="00453596"/>
    <w:rsid w:val="00454F61"/>
    <w:rsid w:val="004573C4"/>
    <w:rsid w:val="0046098E"/>
    <w:rsid w:val="004611D5"/>
    <w:rsid w:val="00462C1B"/>
    <w:rsid w:val="00463B95"/>
    <w:rsid w:val="00463D2F"/>
    <w:rsid w:val="00467B7E"/>
    <w:rsid w:val="00473040"/>
    <w:rsid w:val="00473941"/>
    <w:rsid w:val="00473BB4"/>
    <w:rsid w:val="00477592"/>
    <w:rsid w:val="00477A92"/>
    <w:rsid w:val="00482064"/>
    <w:rsid w:val="00482C60"/>
    <w:rsid w:val="004839D7"/>
    <w:rsid w:val="00486F1C"/>
    <w:rsid w:val="00491057"/>
    <w:rsid w:val="00491509"/>
    <w:rsid w:val="00491FF0"/>
    <w:rsid w:val="0049419D"/>
    <w:rsid w:val="00495071"/>
    <w:rsid w:val="004A0EB6"/>
    <w:rsid w:val="004A32E4"/>
    <w:rsid w:val="004A42CE"/>
    <w:rsid w:val="004A44C5"/>
    <w:rsid w:val="004A590A"/>
    <w:rsid w:val="004A6A54"/>
    <w:rsid w:val="004A729F"/>
    <w:rsid w:val="004B32AF"/>
    <w:rsid w:val="004B56A5"/>
    <w:rsid w:val="004B7215"/>
    <w:rsid w:val="004C1590"/>
    <w:rsid w:val="004C20D2"/>
    <w:rsid w:val="004C2312"/>
    <w:rsid w:val="004C3DAE"/>
    <w:rsid w:val="004C4376"/>
    <w:rsid w:val="004C4B62"/>
    <w:rsid w:val="004C54C9"/>
    <w:rsid w:val="004D1777"/>
    <w:rsid w:val="004D2DC3"/>
    <w:rsid w:val="004D3CE9"/>
    <w:rsid w:val="004D4ABA"/>
    <w:rsid w:val="004D6025"/>
    <w:rsid w:val="004E2649"/>
    <w:rsid w:val="004E5942"/>
    <w:rsid w:val="004F14A9"/>
    <w:rsid w:val="004F458E"/>
    <w:rsid w:val="004F5409"/>
    <w:rsid w:val="004F7B5B"/>
    <w:rsid w:val="00500664"/>
    <w:rsid w:val="00501399"/>
    <w:rsid w:val="005016B4"/>
    <w:rsid w:val="00504007"/>
    <w:rsid w:val="00504F0F"/>
    <w:rsid w:val="0050633D"/>
    <w:rsid w:val="00506D99"/>
    <w:rsid w:val="00507164"/>
    <w:rsid w:val="00507BC4"/>
    <w:rsid w:val="005119F9"/>
    <w:rsid w:val="005128E4"/>
    <w:rsid w:val="00512E84"/>
    <w:rsid w:val="005133DB"/>
    <w:rsid w:val="0051380C"/>
    <w:rsid w:val="00513846"/>
    <w:rsid w:val="00513BDD"/>
    <w:rsid w:val="00514686"/>
    <w:rsid w:val="00514EEE"/>
    <w:rsid w:val="00517FF0"/>
    <w:rsid w:val="00520841"/>
    <w:rsid w:val="00522D72"/>
    <w:rsid w:val="00522F51"/>
    <w:rsid w:val="00525560"/>
    <w:rsid w:val="00525FC3"/>
    <w:rsid w:val="005262B1"/>
    <w:rsid w:val="0052644A"/>
    <w:rsid w:val="00526DC0"/>
    <w:rsid w:val="00527D3D"/>
    <w:rsid w:val="00530794"/>
    <w:rsid w:val="005316EF"/>
    <w:rsid w:val="00532DCD"/>
    <w:rsid w:val="00534F45"/>
    <w:rsid w:val="005363A9"/>
    <w:rsid w:val="00537490"/>
    <w:rsid w:val="00540F17"/>
    <w:rsid w:val="00544C49"/>
    <w:rsid w:val="00550CD6"/>
    <w:rsid w:val="005516A1"/>
    <w:rsid w:val="005579FD"/>
    <w:rsid w:val="00563557"/>
    <w:rsid w:val="005659F2"/>
    <w:rsid w:val="005660B9"/>
    <w:rsid w:val="00566CD4"/>
    <w:rsid w:val="00567E2F"/>
    <w:rsid w:val="00570C5B"/>
    <w:rsid w:val="00572CEE"/>
    <w:rsid w:val="0057402A"/>
    <w:rsid w:val="005771D0"/>
    <w:rsid w:val="00580746"/>
    <w:rsid w:val="00581E72"/>
    <w:rsid w:val="00586CE6"/>
    <w:rsid w:val="0059191A"/>
    <w:rsid w:val="00591E92"/>
    <w:rsid w:val="005921FF"/>
    <w:rsid w:val="005924AD"/>
    <w:rsid w:val="005924FE"/>
    <w:rsid w:val="00594C65"/>
    <w:rsid w:val="00595F30"/>
    <w:rsid w:val="005A234D"/>
    <w:rsid w:val="005A24ED"/>
    <w:rsid w:val="005A24F9"/>
    <w:rsid w:val="005A37EC"/>
    <w:rsid w:val="005A6D0E"/>
    <w:rsid w:val="005B285A"/>
    <w:rsid w:val="005B2A97"/>
    <w:rsid w:val="005B52B0"/>
    <w:rsid w:val="005B6806"/>
    <w:rsid w:val="005C0092"/>
    <w:rsid w:val="005C3098"/>
    <w:rsid w:val="005C4225"/>
    <w:rsid w:val="005C6C87"/>
    <w:rsid w:val="005D0CA4"/>
    <w:rsid w:val="005D276B"/>
    <w:rsid w:val="005D7480"/>
    <w:rsid w:val="005E22EE"/>
    <w:rsid w:val="005E3911"/>
    <w:rsid w:val="005E6F8D"/>
    <w:rsid w:val="005E7C89"/>
    <w:rsid w:val="005F051A"/>
    <w:rsid w:val="005F0DAD"/>
    <w:rsid w:val="005F0F33"/>
    <w:rsid w:val="005F15A2"/>
    <w:rsid w:val="005F579D"/>
    <w:rsid w:val="005F61BE"/>
    <w:rsid w:val="005F6A94"/>
    <w:rsid w:val="005F7664"/>
    <w:rsid w:val="00600812"/>
    <w:rsid w:val="00600DEB"/>
    <w:rsid w:val="00603BA1"/>
    <w:rsid w:val="0060450C"/>
    <w:rsid w:val="00605365"/>
    <w:rsid w:val="006055BB"/>
    <w:rsid w:val="00607A0B"/>
    <w:rsid w:val="006132CC"/>
    <w:rsid w:val="00613CD0"/>
    <w:rsid w:val="00613D10"/>
    <w:rsid w:val="00614AAB"/>
    <w:rsid w:val="00616600"/>
    <w:rsid w:val="00621E1C"/>
    <w:rsid w:val="006220A8"/>
    <w:rsid w:val="00622E05"/>
    <w:rsid w:val="00624257"/>
    <w:rsid w:val="0062639C"/>
    <w:rsid w:val="00626A40"/>
    <w:rsid w:val="00627066"/>
    <w:rsid w:val="006276BB"/>
    <w:rsid w:val="00627C9F"/>
    <w:rsid w:val="0063011E"/>
    <w:rsid w:val="00630BD4"/>
    <w:rsid w:val="006311E9"/>
    <w:rsid w:val="00632354"/>
    <w:rsid w:val="006325B3"/>
    <w:rsid w:val="00632BFE"/>
    <w:rsid w:val="0063685A"/>
    <w:rsid w:val="00637C4F"/>
    <w:rsid w:val="00641CBA"/>
    <w:rsid w:val="00642810"/>
    <w:rsid w:val="00643279"/>
    <w:rsid w:val="00644D32"/>
    <w:rsid w:val="0064556D"/>
    <w:rsid w:val="00645F00"/>
    <w:rsid w:val="00647815"/>
    <w:rsid w:val="00650AF1"/>
    <w:rsid w:val="006514ED"/>
    <w:rsid w:val="00652333"/>
    <w:rsid w:val="00652E6C"/>
    <w:rsid w:val="00653312"/>
    <w:rsid w:val="006536B4"/>
    <w:rsid w:val="00657D63"/>
    <w:rsid w:val="00661483"/>
    <w:rsid w:val="00662EC7"/>
    <w:rsid w:val="0066449E"/>
    <w:rsid w:val="00664C7D"/>
    <w:rsid w:val="006655C5"/>
    <w:rsid w:val="006704C9"/>
    <w:rsid w:val="00670D03"/>
    <w:rsid w:val="006713EB"/>
    <w:rsid w:val="00672EB2"/>
    <w:rsid w:val="00675483"/>
    <w:rsid w:val="0068009E"/>
    <w:rsid w:val="0068444A"/>
    <w:rsid w:val="00686806"/>
    <w:rsid w:val="00691488"/>
    <w:rsid w:val="00692219"/>
    <w:rsid w:val="00695A16"/>
    <w:rsid w:val="00697644"/>
    <w:rsid w:val="006A04E2"/>
    <w:rsid w:val="006A1215"/>
    <w:rsid w:val="006A17D2"/>
    <w:rsid w:val="006A3022"/>
    <w:rsid w:val="006A4A39"/>
    <w:rsid w:val="006A52E2"/>
    <w:rsid w:val="006A6665"/>
    <w:rsid w:val="006A73E6"/>
    <w:rsid w:val="006B1647"/>
    <w:rsid w:val="006B2D5C"/>
    <w:rsid w:val="006B3DB0"/>
    <w:rsid w:val="006C1B3E"/>
    <w:rsid w:val="006C2923"/>
    <w:rsid w:val="006C397B"/>
    <w:rsid w:val="006C4EB1"/>
    <w:rsid w:val="006C6056"/>
    <w:rsid w:val="006C6114"/>
    <w:rsid w:val="006D0D5E"/>
    <w:rsid w:val="006D0E0A"/>
    <w:rsid w:val="006D192E"/>
    <w:rsid w:val="006D44B1"/>
    <w:rsid w:val="006D471E"/>
    <w:rsid w:val="006D5423"/>
    <w:rsid w:val="006D5ED0"/>
    <w:rsid w:val="006D633D"/>
    <w:rsid w:val="006D6FDF"/>
    <w:rsid w:val="006D7152"/>
    <w:rsid w:val="006E0166"/>
    <w:rsid w:val="006E427C"/>
    <w:rsid w:val="006E4B7C"/>
    <w:rsid w:val="006E60DC"/>
    <w:rsid w:val="006E6B5B"/>
    <w:rsid w:val="006E7B34"/>
    <w:rsid w:val="006F2ED2"/>
    <w:rsid w:val="006F7679"/>
    <w:rsid w:val="007013E6"/>
    <w:rsid w:val="00702DF4"/>
    <w:rsid w:val="00704735"/>
    <w:rsid w:val="0070697F"/>
    <w:rsid w:val="007076D2"/>
    <w:rsid w:val="00711E24"/>
    <w:rsid w:val="00715AF0"/>
    <w:rsid w:val="00716324"/>
    <w:rsid w:val="00717CAE"/>
    <w:rsid w:val="00720EED"/>
    <w:rsid w:val="0072199C"/>
    <w:rsid w:val="00722528"/>
    <w:rsid w:val="00722C9F"/>
    <w:rsid w:val="00722E31"/>
    <w:rsid w:val="007239AE"/>
    <w:rsid w:val="007243A4"/>
    <w:rsid w:val="007253B8"/>
    <w:rsid w:val="00727168"/>
    <w:rsid w:val="00730CB3"/>
    <w:rsid w:val="007325D3"/>
    <w:rsid w:val="0073486C"/>
    <w:rsid w:val="00735369"/>
    <w:rsid w:val="00736E34"/>
    <w:rsid w:val="0073741F"/>
    <w:rsid w:val="00740943"/>
    <w:rsid w:val="0074134B"/>
    <w:rsid w:val="007424BE"/>
    <w:rsid w:val="00744777"/>
    <w:rsid w:val="007447C1"/>
    <w:rsid w:val="0074608C"/>
    <w:rsid w:val="00746DFA"/>
    <w:rsid w:val="00754F01"/>
    <w:rsid w:val="007550F0"/>
    <w:rsid w:val="0075553A"/>
    <w:rsid w:val="00755D7F"/>
    <w:rsid w:val="007564E7"/>
    <w:rsid w:val="007578CB"/>
    <w:rsid w:val="007578DB"/>
    <w:rsid w:val="00761729"/>
    <w:rsid w:val="0076193D"/>
    <w:rsid w:val="00762BD0"/>
    <w:rsid w:val="0076643F"/>
    <w:rsid w:val="00774F93"/>
    <w:rsid w:val="00776A99"/>
    <w:rsid w:val="007774A4"/>
    <w:rsid w:val="007775F8"/>
    <w:rsid w:val="00777896"/>
    <w:rsid w:val="00777F63"/>
    <w:rsid w:val="00781C96"/>
    <w:rsid w:val="00781E7C"/>
    <w:rsid w:val="00782808"/>
    <w:rsid w:val="00783148"/>
    <w:rsid w:val="00784532"/>
    <w:rsid w:val="007856C3"/>
    <w:rsid w:val="00786D6F"/>
    <w:rsid w:val="0078718D"/>
    <w:rsid w:val="0078777E"/>
    <w:rsid w:val="00791931"/>
    <w:rsid w:val="007919A1"/>
    <w:rsid w:val="00795906"/>
    <w:rsid w:val="00797AFC"/>
    <w:rsid w:val="007A1E68"/>
    <w:rsid w:val="007A3483"/>
    <w:rsid w:val="007A41FF"/>
    <w:rsid w:val="007A4A52"/>
    <w:rsid w:val="007A5817"/>
    <w:rsid w:val="007B05C4"/>
    <w:rsid w:val="007B3E9F"/>
    <w:rsid w:val="007B4636"/>
    <w:rsid w:val="007B5A5E"/>
    <w:rsid w:val="007B60E9"/>
    <w:rsid w:val="007B6CC3"/>
    <w:rsid w:val="007B7341"/>
    <w:rsid w:val="007B76D3"/>
    <w:rsid w:val="007C0269"/>
    <w:rsid w:val="007C0EC3"/>
    <w:rsid w:val="007C1D55"/>
    <w:rsid w:val="007C26AE"/>
    <w:rsid w:val="007C3334"/>
    <w:rsid w:val="007C5F6E"/>
    <w:rsid w:val="007C7024"/>
    <w:rsid w:val="007D0183"/>
    <w:rsid w:val="007D1971"/>
    <w:rsid w:val="007D2B98"/>
    <w:rsid w:val="007D6BBC"/>
    <w:rsid w:val="007D7148"/>
    <w:rsid w:val="007E0986"/>
    <w:rsid w:val="007E1C29"/>
    <w:rsid w:val="007E21BC"/>
    <w:rsid w:val="007E26C4"/>
    <w:rsid w:val="007E3700"/>
    <w:rsid w:val="007E4495"/>
    <w:rsid w:val="007E4949"/>
    <w:rsid w:val="007E7C82"/>
    <w:rsid w:val="007F0F4E"/>
    <w:rsid w:val="007F1237"/>
    <w:rsid w:val="007F1455"/>
    <w:rsid w:val="007F1F83"/>
    <w:rsid w:val="007F588D"/>
    <w:rsid w:val="007F5AAA"/>
    <w:rsid w:val="00801BE0"/>
    <w:rsid w:val="008028CA"/>
    <w:rsid w:val="00802B9E"/>
    <w:rsid w:val="008034E0"/>
    <w:rsid w:val="00803529"/>
    <w:rsid w:val="00803F1C"/>
    <w:rsid w:val="0080421B"/>
    <w:rsid w:val="008051A3"/>
    <w:rsid w:val="0080600E"/>
    <w:rsid w:val="0081589B"/>
    <w:rsid w:val="008171DA"/>
    <w:rsid w:val="00817612"/>
    <w:rsid w:val="00820215"/>
    <w:rsid w:val="00820732"/>
    <w:rsid w:val="0082172A"/>
    <w:rsid w:val="008238C2"/>
    <w:rsid w:val="0082588E"/>
    <w:rsid w:val="00825C4C"/>
    <w:rsid w:val="008271E6"/>
    <w:rsid w:val="008302A3"/>
    <w:rsid w:val="00831549"/>
    <w:rsid w:val="008338A4"/>
    <w:rsid w:val="00834D49"/>
    <w:rsid w:val="00835029"/>
    <w:rsid w:val="0083747C"/>
    <w:rsid w:val="00837C45"/>
    <w:rsid w:val="008403E5"/>
    <w:rsid w:val="00844730"/>
    <w:rsid w:val="008457C2"/>
    <w:rsid w:val="00850886"/>
    <w:rsid w:val="00854FBD"/>
    <w:rsid w:val="00857A82"/>
    <w:rsid w:val="008604D2"/>
    <w:rsid w:val="008646E4"/>
    <w:rsid w:val="00865FA0"/>
    <w:rsid w:val="00866563"/>
    <w:rsid w:val="00870129"/>
    <w:rsid w:val="00870FE1"/>
    <w:rsid w:val="00873836"/>
    <w:rsid w:val="00875FA7"/>
    <w:rsid w:val="008805F3"/>
    <w:rsid w:val="0088168E"/>
    <w:rsid w:val="00884543"/>
    <w:rsid w:val="00884A98"/>
    <w:rsid w:val="00885737"/>
    <w:rsid w:val="00890650"/>
    <w:rsid w:val="00890F2B"/>
    <w:rsid w:val="008919E0"/>
    <w:rsid w:val="00897E12"/>
    <w:rsid w:val="008A4C14"/>
    <w:rsid w:val="008A7E0F"/>
    <w:rsid w:val="008B12F5"/>
    <w:rsid w:val="008C4D23"/>
    <w:rsid w:val="008D768D"/>
    <w:rsid w:val="008E1653"/>
    <w:rsid w:val="008E3759"/>
    <w:rsid w:val="008E3BFE"/>
    <w:rsid w:val="008F0678"/>
    <w:rsid w:val="008F12CE"/>
    <w:rsid w:val="008F1912"/>
    <w:rsid w:val="008F2441"/>
    <w:rsid w:val="008F3137"/>
    <w:rsid w:val="008F3521"/>
    <w:rsid w:val="008F4BB4"/>
    <w:rsid w:val="00900587"/>
    <w:rsid w:val="00901EC6"/>
    <w:rsid w:val="0090270B"/>
    <w:rsid w:val="0090285C"/>
    <w:rsid w:val="009041DC"/>
    <w:rsid w:val="00904528"/>
    <w:rsid w:val="0090453A"/>
    <w:rsid w:val="00904EEB"/>
    <w:rsid w:val="009126BC"/>
    <w:rsid w:val="00912FD4"/>
    <w:rsid w:val="009140B7"/>
    <w:rsid w:val="00914CD0"/>
    <w:rsid w:val="00915054"/>
    <w:rsid w:val="00915C27"/>
    <w:rsid w:val="00917B5A"/>
    <w:rsid w:val="00920A58"/>
    <w:rsid w:val="00920A8C"/>
    <w:rsid w:val="00927613"/>
    <w:rsid w:val="00934A2C"/>
    <w:rsid w:val="00936FAC"/>
    <w:rsid w:val="00937CE4"/>
    <w:rsid w:val="00937FB3"/>
    <w:rsid w:val="00942722"/>
    <w:rsid w:val="00944021"/>
    <w:rsid w:val="00953D75"/>
    <w:rsid w:val="00957D66"/>
    <w:rsid w:val="009657EB"/>
    <w:rsid w:val="009660D2"/>
    <w:rsid w:val="009665A1"/>
    <w:rsid w:val="00966963"/>
    <w:rsid w:val="0096706E"/>
    <w:rsid w:val="00973662"/>
    <w:rsid w:val="00974491"/>
    <w:rsid w:val="00974DD6"/>
    <w:rsid w:val="009756B8"/>
    <w:rsid w:val="00975C4E"/>
    <w:rsid w:val="009763F0"/>
    <w:rsid w:val="00977196"/>
    <w:rsid w:val="00980491"/>
    <w:rsid w:val="00981144"/>
    <w:rsid w:val="00981FBA"/>
    <w:rsid w:val="009830D7"/>
    <w:rsid w:val="009857EE"/>
    <w:rsid w:val="00986795"/>
    <w:rsid w:val="00992F9E"/>
    <w:rsid w:val="00997BC5"/>
    <w:rsid w:val="009A4F41"/>
    <w:rsid w:val="009A5026"/>
    <w:rsid w:val="009B1A39"/>
    <w:rsid w:val="009B381B"/>
    <w:rsid w:val="009B5848"/>
    <w:rsid w:val="009B5F66"/>
    <w:rsid w:val="009B6FA6"/>
    <w:rsid w:val="009B7794"/>
    <w:rsid w:val="009B7B39"/>
    <w:rsid w:val="009C7A79"/>
    <w:rsid w:val="009D07EA"/>
    <w:rsid w:val="009D0FAE"/>
    <w:rsid w:val="009D1753"/>
    <w:rsid w:val="009D19F0"/>
    <w:rsid w:val="009D2C29"/>
    <w:rsid w:val="009D3AB4"/>
    <w:rsid w:val="009D51C5"/>
    <w:rsid w:val="009D7611"/>
    <w:rsid w:val="009D78F7"/>
    <w:rsid w:val="009E0B61"/>
    <w:rsid w:val="009E2517"/>
    <w:rsid w:val="009E53DE"/>
    <w:rsid w:val="009E561B"/>
    <w:rsid w:val="009E67B2"/>
    <w:rsid w:val="009E7E04"/>
    <w:rsid w:val="009F44F5"/>
    <w:rsid w:val="009F744D"/>
    <w:rsid w:val="00A0451C"/>
    <w:rsid w:val="00A05E82"/>
    <w:rsid w:val="00A11212"/>
    <w:rsid w:val="00A1194F"/>
    <w:rsid w:val="00A11E44"/>
    <w:rsid w:val="00A16EC1"/>
    <w:rsid w:val="00A200D6"/>
    <w:rsid w:val="00A20DB6"/>
    <w:rsid w:val="00A32431"/>
    <w:rsid w:val="00A328B3"/>
    <w:rsid w:val="00A32C39"/>
    <w:rsid w:val="00A339FC"/>
    <w:rsid w:val="00A3565A"/>
    <w:rsid w:val="00A3704E"/>
    <w:rsid w:val="00A410A4"/>
    <w:rsid w:val="00A43078"/>
    <w:rsid w:val="00A431C9"/>
    <w:rsid w:val="00A500E0"/>
    <w:rsid w:val="00A50FCF"/>
    <w:rsid w:val="00A528D1"/>
    <w:rsid w:val="00A538CC"/>
    <w:rsid w:val="00A53C7E"/>
    <w:rsid w:val="00A5784D"/>
    <w:rsid w:val="00A610CD"/>
    <w:rsid w:val="00A6435C"/>
    <w:rsid w:val="00A64DCB"/>
    <w:rsid w:val="00A66E88"/>
    <w:rsid w:val="00A73A9A"/>
    <w:rsid w:val="00A758AA"/>
    <w:rsid w:val="00A8196D"/>
    <w:rsid w:val="00A84BAC"/>
    <w:rsid w:val="00A8555F"/>
    <w:rsid w:val="00A9096D"/>
    <w:rsid w:val="00A92507"/>
    <w:rsid w:val="00A92661"/>
    <w:rsid w:val="00A92FBA"/>
    <w:rsid w:val="00A93BC7"/>
    <w:rsid w:val="00A95551"/>
    <w:rsid w:val="00A96937"/>
    <w:rsid w:val="00A977BE"/>
    <w:rsid w:val="00AA0265"/>
    <w:rsid w:val="00AA09A2"/>
    <w:rsid w:val="00AA2690"/>
    <w:rsid w:val="00AA3F80"/>
    <w:rsid w:val="00AA4598"/>
    <w:rsid w:val="00AA4BD8"/>
    <w:rsid w:val="00AA54AE"/>
    <w:rsid w:val="00AA6A05"/>
    <w:rsid w:val="00AA7996"/>
    <w:rsid w:val="00AB19B3"/>
    <w:rsid w:val="00AB240A"/>
    <w:rsid w:val="00AB348D"/>
    <w:rsid w:val="00AB5957"/>
    <w:rsid w:val="00AB5D04"/>
    <w:rsid w:val="00AB67C6"/>
    <w:rsid w:val="00AC00A1"/>
    <w:rsid w:val="00AC19CB"/>
    <w:rsid w:val="00AC1D45"/>
    <w:rsid w:val="00AD124E"/>
    <w:rsid w:val="00AD3649"/>
    <w:rsid w:val="00AD58D6"/>
    <w:rsid w:val="00AD616E"/>
    <w:rsid w:val="00AE19FB"/>
    <w:rsid w:val="00AE2DA1"/>
    <w:rsid w:val="00AE5488"/>
    <w:rsid w:val="00AE55D2"/>
    <w:rsid w:val="00AE5E85"/>
    <w:rsid w:val="00AE6AE2"/>
    <w:rsid w:val="00AE6F91"/>
    <w:rsid w:val="00AF1461"/>
    <w:rsid w:val="00AF1C49"/>
    <w:rsid w:val="00AF38C8"/>
    <w:rsid w:val="00AF5571"/>
    <w:rsid w:val="00AF5917"/>
    <w:rsid w:val="00AF6BEC"/>
    <w:rsid w:val="00AF7204"/>
    <w:rsid w:val="00B00E37"/>
    <w:rsid w:val="00B01B2F"/>
    <w:rsid w:val="00B01D4E"/>
    <w:rsid w:val="00B02429"/>
    <w:rsid w:val="00B0351D"/>
    <w:rsid w:val="00B05DDB"/>
    <w:rsid w:val="00B07341"/>
    <w:rsid w:val="00B13163"/>
    <w:rsid w:val="00B13530"/>
    <w:rsid w:val="00B1565D"/>
    <w:rsid w:val="00B163F0"/>
    <w:rsid w:val="00B1654F"/>
    <w:rsid w:val="00B213AD"/>
    <w:rsid w:val="00B215BE"/>
    <w:rsid w:val="00B24D7E"/>
    <w:rsid w:val="00B27BE0"/>
    <w:rsid w:val="00B30539"/>
    <w:rsid w:val="00B314DB"/>
    <w:rsid w:val="00B32E42"/>
    <w:rsid w:val="00B361F2"/>
    <w:rsid w:val="00B367D3"/>
    <w:rsid w:val="00B3718B"/>
    <w:rsid w:val="00B406C0"/>
    <w:rsid w:val="00B43AD5"/>
    <w:rsid w:val="00B4632A"/>
    <w:rsid w:val="00B46893"/>
    <w:rsid w:val="00B520C0"/>
    <w:rsid w:val="00B53000"/>
    <w:rsid w:val="00B5308A"/>
    <w:rsid w:val="00B530F1"/>
    <w:rsid w:val="00B62DA5"/>
    <w:rsid w:val="00B64CD5"/>
    <w:rsid w:val="00B67625"/>
    <w:rsid w:val="00B71122"/>
    <w:rsid w:val="00B73492"/>
    <w:rsid w:val="00B74887"/>
    <w:rsid w:val="00B75AC3"/>
    <w:rsid w:val="00B82F91"/>
    <w:rsid w:val="00B83F2C"/>
    <w:rsid w:val="00B84334"/>
    <w:rsid w:val="00B84409"/>
    <w:rsid w:val="00B85F6F"/>
    <w:rsid w:val="00B8636A"/>
    <w:rsid w:val="00B87B9C"/>
    <w:rsid w:val="00B90432"/>
    <w:rsid w:val="00B93C13"/>
    <w:rsid w:val="00BA276C"/>
    <w:rsid w:val="00BA311C"/>
    <w:rsid w:val="00BA7A1C"/>
    <w:rsid w:val="00BB1657"/>
    <w:rsid w:val="00BB306F"/>
    <w:rsid w:val="00BB3CF4"/>
    <w:rsid w:val="00BB5EA5"/>
    <w:rsid w:val="00BC0583"/>
    <w:rsid w:val="00BC2AD7"/>
    <w:rsid w:val="00BC2AE8"/>
    <w:rsid w:val="00BD1591"/>
    <w:rsid w:val="00BD1EEF"/>
    <w:rsid w:val="00BD4B89"/>
    <w:rsid w:val="00BD5922"/>
    <w:rsid w:val="00BD5E69"/>
    <w:rsid w:val="00BD61ED"/>
    <w:rsid w:val="00BE13A0"/>
    <w:rsid w:val="00BE3664"/>
    <w:rsid w:val="00BE5912"/>
    <w:rsid w:val="00BE7AA1"/>
    <w:rsid w:val="00BF02CB"/>
    <w:rsid w:val="00BF4837"/>
    <w:rsid w:val="00BF5214"/>
    <w:rsid w:val="00BF64BE"/>
    <w:rsid w:val="00BF678A"/>
    <w:rsid w:val="00BF6FD8"/>
    <w:rsid w:val="00BF7C2B"/>
    <w:rsid w:val="00C02179"/>
    <w:rsid w:val="00C03680"/>
    <w:rsid w:val="00C054DF"/>
    <w:rsid w:val="00C10222"/>
    <w:rsid w:val="00C11766"/>
    <w:rsid w:val="00C14D4D"/>
    <w:rsid w:val="00C17CBC"/>
    <w:rsid w:val="00C20A16"/>
    <w:rsid w:val="00C21762"/>
    <w:rsid w:val="00C21DBC"/>
    <w:rsid w:val="00C21FEF"/>
    <w:rsid w:val="00C22D5E"/>
    <w:rsid w:val="00C23335"/>
    <w:rsid w:val="00C2348C"/>
    <w:rsid w:val="00C24543"/>
    <w:rsid w:val="00C25166"/>
    <w:rsid w:val="00C2532D"/>
    <w:rsid w:val="00C256A2"/>
    <w:rsid w:val="00C30AA5"/>
    <w:rsid w:val="00C30CD3"/>
    <w:rsid w:val="00C31A8A"/>
    <w:rsid w:val="00C33B09"/>
    <w:rsid w:val="00C342D9"/>
    <w:rsid w:val="00C34491"/>
    <w:rsid w:val="00C35D17"/>
    <w:rsid w:val="00C362FD"/>
    <w:rsid w:val="00C42159"/>
    <w:rsid w:val="00C42657"/>
    <w:rsid w:val="00C42AC5"/>
    <w:rsid w:val="00C44D51"/>
    <w:rsid w:val="00C4630A"/>
    <w:rsid w:val="00C50F90"/>
    <w:rsid w:val="00C51515"/>
    <w:rsid w:val="00C519EB"/>
    <w:rsid w:val="00C53C58"/>
    <w:rsid w:val="00C5416B"/>
    <w:rsid w:val="00C559E8"/>
    <w:rsid w:val="00C5660B"/>
    <w:rsid w:val="00C57851"/>
    <w:rsid w:val="00C62BEB"/>
    <w:rsid w:val="00C66B72"/>
    <w:rsid w:val="00C74006"/>
    <w:rsid w:val="00C76002"/>
    <w:rsid w:val="00C770F2"/>
    <w:rsid w:val="00C804E3"/>
    <w:rsid w:val="00C80E3E"/>
    <w:rsid w:val="00C82E08"/>
    <w:rsid w:val="00C82EDF"/>
    <w:rsid w:val="00C84A30"/>
    <w:rsid w:val="00C87AC4"/>
    <w:rsid w:val="00C9051A"/>
    <w:rsid w:val="00C94627"/>
    <w:rsid w:val="00C9567A"/>
    <w:rsid w:val="00C96267"/>
    <w:rsid w:val="00C969C9"/>
    <w:rsid w:val="00CA1216"/>
    <w:rsid w:val="00CA38A1"/>
    <w:rsid w:val="00CA6017"/>
    <w:rsid w:val="00CA76B4"/>
    <w:rsid w:val="00CB212D"/>
    <w:rsid w:val="00CB2660"/>
    <w:rsid w:val="00CB2A8B"/>
    <w:rsid w:val="00CC38B7"/>
    <w:rsid w:val="00CC5E90"/>
    <w:rsid w:val="00CC798E"/>
    <w:rsid w:val="00CD046C"/>
    <w:rsid w:val="00CD18E0"/>
    <w:rsid w:val="00CD63EC"/>
    <w:rsid w:val="00CE076C"/>
    <w:rsid w:val="00CE42D9"/>
    <w:rsid w:val="00CE4CC9"/>
    <w:rsid w:val="00CE5199"/>
    <w:rsid w:val="00CE6459"/>
    <w:rsid w:val="00CE66D5"/>
    <w:rsid w:val="00CE7775"/>
    <w:rsid w:val="00CF006E"/>
    <w:rsid w:val="00CF0D5F"/>
    <w:rsid w:val="00CF26A3"/>
    <w:rsid w:val="00CF3C13"/>
    <w:rsid w:val="00CF4FD7"/>
    <w:rsid w:val="00CF560A"/>
    <w:rsid w:val="00CF637A"/>
    <w:rsid w:val="00CF7A44"/>
    <w:rsid w:val="00D04219"/>
    <w:rsid w:val="00D059DE"/>
    <w:rsid w:val="00D05ABD"/>
    <w:rsid w:val="00D05EB6"/>
    <w:rsid w:val="00D07FD0"/>
    <w:rsid w:val="00D12290"/>
    <w:rsid w:val="00D13FCE"/>
    <w:rsid w:val="00D15007"/>
    <w:rsid w:val="00D20C30"/>
    <w:rsid w:val="00D25A9E"/>
    <w:rsid w:val="00D277C7"/>
    <w:rsid w:val="00D30639"/>
    <w:rsid w:val="00D306D1"/>
    <w:rsid w:val="00D30800"/>
    <w:rsid w:val="00D339AD"/>
    <w:rsid w:val="00D34786"/>
    <w:rsid w:val="00D34EC8"/>
    <w:rsid w:val="00D35BCF"/>
    <w:rsid w:val="00D37BFC"/>
    <w:rsid w:val="00D40293"/>
    <w:rsid w:val="00D40B4B"/>
    <w:rsid w:val="00D4145E"/>
    <w:rsid w:val="00D4419B"/>
    <w:rsid w:val="00D44723"/>
    <w:rsid w:val="00D45298"/>
    <w:rsid w:val="00D47A8E"/>
    <w:rsid w:val="00D5254B"/>
    <w:rsid w:val="00D52D14"/>
    <w:rsid w:val="00D52FD6"/>
    <w:rsid w:val="00D54530"/>
    <w:rsid w:val="00D54BFE"/>
    <w:rsid w:val="00D576A3"/>
    <w:rsid w:val="00D610A1"/>
    <w:rsid w:val="00D6396E"/>
    <w:rsid w:val="00D63E50"/>
    <w:rsid w:val="00D712D3"/>
    <w:rsid w:val="00D71422"/>
    <w:rsid w:val="00D71544"/>
    <w:rsid w:val="00D722D2"/>
    <w:rsid w:val="00D72AF9"/>
    <w:rsid w:val="00D72DC6"/>
    <w:rsid w:val="00D7558D"/>
    <w:rsid w:val="00D8146F"/>
    <w:rsid w:val="00D81D92"/>
    <w:rsid w:val="00D835F3"/>
    <w:rsid w:val="00D84D93"/>
    <w:rsid w:val="00D876F9"/>
    <w:rsid w:val="00D909F8"/>
    <w:rsid w:val="00D90EF0"/>
    <w:rsid w:val="00D92B1C"/>
    <w:rsid w:val="00D9493B"/>
    <w:rsid w:val="00D96037"/>
    <w:rsid w:val="00D97C8E"/>
    <w:rsid w:val="00DA2C16"/>
    <w:rsid w:val="00DA4887"/>
    <w:rsid w:val="00DA4FCD"/>
    <w:rsid w:val="00DA5739"/>
    <w:rsid w:val="00DA58AD"/>
    <w:rsid w:val="00DA7B5F"/>
    <w:rsid w:val="00DB2C06"/>
    <w:rsid w:val="00DB3C08"/>
    <w:rsid w:val="00DB686E"/>
    <w:rsid w:val="00DC11E7"/>
    <w:rsid w:val="00DC30C6"/>
    <w:rsid w:val="00DC4262"/>
    <w:rsid w:val="00DC58AF"/>
    <w:rsid w:val="00DC5F5C"/>
    <w:rsid w:val="00DC7023"/>
    <w:rsid w:val="00DC769A"/>
    <w:rsid w:val="00DC76A9"/>
    <w:rsid w:val="00DC7E31"/>
    <w:rsid w:val="00DD0D22"/>
    <w:rsid w:val="00DD118B"/>
    <w:rsid w:val="00DD3D86"/>
    <w:rsid w:val="00DD4AD2"/>
    <w:rsid w:val="00DD59EB"/>
    <w:rsid w:val="00DE19D9"/>
    <w:rsid w:val="00DE1C60"/>
    <w:rsid w:val="00DE226D"/>
    <w:rsid w:val="00DE2BB4"/>
    <w:rsid w:val="00DE3503"/>
    <w:rsid w:val="00DE381E"/>
    <w:rsid w:val="00DE720D"/>
    <w:rsid w:val="00DF18C5"/>
    <w:rsid w:val="00DF1CB4"/>
    <w:rsid w:val="00DF1EC4"/>
    <w:rsid w:val="00DF35E6"/>
    <w:rsid w:val="00DF4939"/>
    <w:rsid w:val="00E00EBB"/>
    <w:rsid w:val="00E0340B"/>
    <w:rsid w:val="00E034D3"/>
    <w:rsid w:val="00E04A90"/>
    <w:rsid w:val="00E04B2D"/>
    <w:rsid w:val="00E051BD"/>
    <w:rsid w:val="00E0551F"/>
    <w:rsid w:val="00E0682B"/>
    <w:rsid w:val="00E0702A"/>
    <w:rsid w:val="00E17331"/>
    <w:rsid w:val="00E1759A"/>
    <w:rsid w:val="00E20A73"/>
    <w:rsid w:val="00E20D35"/>
    <w:rsid w:val="00E219C7"/>
    <w:rsid w:val="00E23A40"/>
    <w:rsid w:val="00E30D9D"/>
    <w:rsid w:val="00E30E64"/>
    <w:rsid w:val="00E31038"/>
    <w:rsid w:val="00E32153"/>
    <w:rsid w:val="00E32A24"/>
    <w:rsid w:val="00E4118C"/>
    <w:rsid w:val="00E42A13"/>
    <w:rsid w:val="00E42E8C"/>
    <w:rsid w:val="00E43157"/>
    <w:rsid w:val="00E43199"/>
    <w:rsid w:val="00E44981"/>
    <w:rsid w:val="00E44AB4"/>
    <w:rsid w:val="00E461CE"/>
    <w:rsid w:val="00E464FF"/>
    <w:rsid w:val="00E47C3F"/>
    <w:rsid w:val="00E50317"/>
    <w:rsid w:val="00E50F45"/>
    <w:rsid w:val="00E52BD2"/>
    <w:rsid w:val="00E53336"/>
    <w:rsid w:val="00E5376E"/>
    <w:rsid w:val="00E53DE5"/>
    <w:rsid w:val="00E55B27"/>
    <w:rsid w:val="00E57A4F"/>
    <w:rsid w:val="00E61650"/>
    <w:rsid w:val="00E62846"/>
    <w:rsid w:val="00E6420B"/>
    <w:rsid w:val="00E71F6C"/>
    <w:rsid w:val="00E71FC3"/>
    <w:rsid w:val="00E720CA"/>
    <w:rsid w:val="00E741D4"/>
    <w:rsid w:val="00E75583"/>
    <w:rsid w:val="00E755D9"/>
    <w:rsid w:val="00E84EB5"/>
    <w:rsid w:val="00E8520A"/>
    <w:rsid w:val="00E85662"/>
    <w:rsid w:val="00E876C5"/>
    <w:rsid w:val="00E8789F"/>
    <w:rsid w:val="00E90D99"/>
    <w:rsid w:val="00E91272"/>
    <w:rsid w:val="00E97B71"/>
    <w:rsid w:val="00EA00C8"/>
    <w:rsid w:val="00EA045A"/>
    <w:rsid w:val="00EA2A3D"/>
    <w:rsid w:val="00EA37F3"/>
    <w:rsid w:val="00EA3D34"/>
    <w:rsid w:val="00EA46A3"/>
    <w:rsid w:val="00EA473B"/>
    <w:rsid w:val="00EA50AB"/>
    <w:rsid w:val="00EA67E2"/>
    <w:rsid w:val="00EA7C8C"/>
    <w:rsid w:val="00EA7F38"/>
    <w:rsid w:val="00EB1D53"/>
    <w:rsid w:val="00EB28B6"/>
    <w:rsid w:val="00EB454D"/>
    <w:rsid w:val="00EC1B10"/>
    <w:rsid w:val="00EC1C7C"/>
    <w:rsid w:val="00EC1D23"/>
    <w:rsid w:val="00EC3FD3"/>
    <w:rsid w:val="00EC60D2"/>
    <w:rsid w:val="00EC6D1A"/>
    <w:rsid w:val="00EC7D62"/>
    <w:rsid w:val="00ED536B"/>
    <w:rsid w:val="00ED549D"/>
    <w:rsid w:val="00ED6875"/>
    <w:rsid w:val="00ED76BE"/>
    <w:rsid w:val="00EE00E9"/>
    <w:rsid w:val="00EE01C2"/>
    <w:rsid w:val="00EE17B0"/>
    <w:rsid w:val="00EE28FC"/>
    <w:rsid w:val="00EE6565"/>
    <w:rsid w:val="00EF0671"/>
    <w:rsid w:val="00EF50A3"/>
    <w:rsid w:val="00EF619B"/>
    <w:rsid w:val="00F00B55"/>
    <w:rsid w:val="00F0176A"/>
    <w:rsid w:val="00F01D9C"/>
    <w:rsid w:val="00F02AD1"/>
    <w:rsid w:val="00F0303E"/>
    <w:rsid w:val="00F03831"/>
    <w:rsid w:val="00F13A5E"/>
    <w:rsid w:val="00F14E2B"/>
    <w:rsid w:val="00F176D6"/>
    <w:rsid w:val="00F21589"/>
    <w:rsid w:val="00F216AF"/>
    <w:rsid w:val="00F22C2A"/>
    <w:rsid w:val="00F234D7"/>
    <w:rsid w:val="00F24C18"/>
    <w:rsid w:val="00F253CC"/>
    <w:rsid w:val="00F26BCA"/>
    <w:rsid w:val="00F275F4"/>
    <w:rsid w:val="00F2763F"/>
    <w:rsid w:val="00F27B60"/>
    <w:rsid w:val="00F33ADF"/>
    <w:rsid w:val="00F37106"/>
    <w:rsid w:val="00F37280"/>
    <w:rsid w:val="00F37495"/>
    <w:rsid w:val="00F3785E"/>
    <w:rsid w:val="00F438C1"/>
    <w:rsid w:val="00F43AA9"/>
    <w:rsid w:val="00F50423"/>
    <w:rsid w:val="00F519CF"/>
    <w:rsid w:val="00F51ED8"/>
    <w:rsid w:val="00F524A3"/>
    <w:rsid w:val="00F56BA5"/>
    <w:rsid w:val="00F60E22"/>
    <w:rsid w:val="00F61FAD"/>
    <w:rsid w:val="00F650AC"/>
    <w:rsid w:val="00F7221F"/>
    <w:rsid w:val="00F809C6"/>
    <w:rsid w:val="00F81395"/>
    <w:rsid w:val="00F81BB8"/>
    <w:rsid w:val="00F83CFC"/>
    <w:rsid w:val="00F847A2"/>
    <w:rsid w:val="00F85AA7"/>
    <w:rsid w:val="00F8754D"/>
    <w:rsid w:val="00F917D1"/>
    <w:rsid w:val="00F91F8B"/>
    <w:rsid w:val="00F9653B"/>
    <w:rsid w:val="00F96DCF"/>
    <w:rsid w:val="00F97F4D"/>
    <w:rsid w:val="00FA0F06"/>
    <w:rsid w:val="00FA3357"/>
    <w:rsid w:val="00FA36AD"/>
    <w:rsid w:val="00FA440B"/>
    <w:rsid w:val="00FA6837"/>
    <w:rsid w:val="00FA6C71"/>
    <w:rsid w:val="00FA7C8F"/>
    <w:rsid w:val="00FB1F13"/>
    <w:rsid w:val="00FB2AB7"/>
    <w:rsid w:val="00FB4EBE"/>
    <w:rsid w:val="00FB62CF"/>
    <w:rsid w:val="00FC2B4A"/>
    <w:rsid w:val="00FC38B2"/>
    <w:rsid w:val="00FD3C3B"/>
    <w:rsid w:val="00FD7800"/>
    <w:rsid w:val="00FE07DD"/>
    <w:rsid w:val="00FE427E"/>
    <w:rsid w:val="00FE6B45"/>
    <w:rsid w:val="00FE720A"/>
    <w:rsid w:val="00FE7971"/>
    <w:rsid w:val="00FE79C8"/>
    <w:rsid w:val="00FF26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s-P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0A"/>
  </w:style>
  <w:style w:type="paragraph" w:styleId="Heading1">
    <w:name w:val="heading 1"/>
    <w:basedOn w:val="Normal"/>
    <w:next w:val="Normal"/>
    <w:link w:val="Heading1Char"/>
    <w:uiPriority w:val="9"/>
    <w:qFormat/>
    <w:rsid w:val="006D0E0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D0E0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D0E0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locked/>
    <w:rsid w:val="006D0E0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locked/>
    <w:rsid w:val="006D0E0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locked/>
    <w:rsid w:val="006D0E0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locked/>
    <w:rsid w:val="006D0E0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locked/>
    <w:rsid w:val="006D0E0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locked/>
    <w:rsid w:val="006D0E0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D0E0A"/>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locked/>
    <w:rsid w:val="006D0E0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locked/>
    <w:rsid w:val="006D0E0A"/>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rsid w:val="00BA311C"/>
    <w:rPr>
      <w:rFonts w:cs="Times New Roman"/>
      <w:u w:val="single"/>
    </w:rPr>
  </w:style>
  <w:style w:type="paragraph" w:customStyle="1" w:styleId="Cabeceraypie">
    <w:name w:val="Cabecera y pie"/>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eastAsia="es-ES"/>
    </w:rPr>
  </w:style>
  <w:style w:type="paragraph" w:styleId="Footer">
    <w:name w:val="footer"/>
    <w:basedOn w:val="Normal"/>
    <w:link w:val="FooterChar"/>
    <w:uiPriority w:val="99"/>
    <w:rsid w:val="00BA311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eastAsia="es-ES"/>
    </w:rPr>
  </w:style>
  <w:style w:type="paragraph" w:styleId="BodyTextIndent">
    <w:name w:val="Body Text Indent"/>
    <w:basedOn w:val="Normal"/>
    <w:link w:val="BodyTextIndentChar"/>
    <w:uiPriority w:val="99"/>
    <w:rsid w:val="00BA311C"/>
    <w:pPr>
      <w:ind w:left="2160" w:hanging="720"/>
    </w:pPr>
    <w:rPr>
      <w:rFonts w:eastAsia="Times New Roman"/>
      <w:color w:val="000000"/>
      <w:u w:color="000000"/>
      <w:lang w:eastAsia="es-ES"/>
    </w:rPr>
  </w:style>
  <w:style w:type="character" w:customStyle="1" w:styleId="BodyTextIndentChar">
    <w:name w:val="Body Text Indent Char"/>
    <w:basedOn w:val="DefaultParagraphFont"/>
    <w:link w:val="BodyTextIndent"/>
    <w:uiPriority w:val="99"/>
    <w:semiHidden/>
    <w:locked/>
    <w:rsid w:val="00A84BAC"/>
    <w:rPr>
      <w:rFonts w:cs="Times New Roman"/>
      <w:sz w:val="24"/>
      <w:szCs w:val="24"/>
      <w:lang w:val="en-US" w:eastAsia="en-US"/>
    </w:rPr>
  </w:style>
  <w:style w:type="paragraph" w:styleId="ListParagraph">
    <w:name w:val="List Paragraph"/>
    <w:basedOn w:val="Normal"/>
    <w:uiPriority w:val="34"/>
    <w:qFormat/>
    <w:rsid w:val="00BA311C"/>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2"/>
    <w:uiPriority w:val="99"/>
    <w:rsid w:val="00BA311C"/>
    <w:rPr>
      <w:rFonts w:ascii="Calibri"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locked/>
    <w:rsid w:val="00A84BAC"/>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lang w:eastAsia="en-US"/>
    </w:rPr>
  </w:style>
  <w:style w:type="paragraph" w:styleId="EndnoteText">
    <w:name w:val="endnote text"/>
    <w:basedOn w:val="Normal"/>
    <w:link w:val="EndnoteTextChar"/>
    <w:uiPriority w:val="99"/>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771ED"/>
    <w:rPr>
      <w:rFonts w:cs="Times New Roman"/>
      <w:sz w:val="16"/>
      <w:szCs w:val="16"/>
    </w:rPr>
  </w:style>
  <w:style w:type="paragraph" w:styleId="CommentText">
    <w:name w:val="annotation text"/>
    <w:basedOn w:val="Normal"/>
    <w:link w:val="CommentTextChar"/>
    <w:uiPriority w:val="99"/>
    <w:semiHidden/>
    <w:rsid w:val="000771ED"/>
    <w:rPr>
      <w:sz w:val="20"/>
      <w:szCs w:val="20"/>
    </w:rPr>
  </w:style>
  <w:style w:type="character" w:customStyle="1" w:styleId="CommentTextChar">
    <w:name w:val="Comment Text Char"/>
    <w:basedOn w:val="DefaultParagraphFont"/>
    <w:link w:val="CommentText"/>
    <w:uiPriority w:val="99"/>
    <w:semiHidden/>
    <w:locked/>
    <w:rsid w:val="000771ED"/>
    <w:rPr>
      <w:rFonts w:cs="Times New Roman"/>
      <w:lang w:val="en-US" w:eastAsia="en-US"/>
    </w:rPr>
  </w:style>
  <w:style w:type="paragraph" w:styleId="CommentSubject">
    <w:name w:val="annotation subject"/>
    <w:basedOn w:val="CommentText"/>
    <w:next w:val="CommentText"/>
    <w:link w:val="CommentSubjectChar"/>
    <w:uiPriority w:val="99"/>
    <w:semiHidden/>
    <w:rsid w:val="000771ED"/>
    <w:rPr>
      <w:b/>
      <w:bCs/>
    </w:rPr>
  </w:style>
  <w:style w:type="character" w:customStyle="1" w:styleId="CommentSubjectChar">
    <w:name w:val="Comment Subject Char"/>
    <w:basedOn w:val="CommentTextChar"/>
    <w:link w:val="CommentSubject"/>
    <w:uiPriority w:val="99"/>
    <w:semiHidden/>
    <w:locked/>
    <w:rsid w:val="000771ED"/>
    <w:rPr>
      <w:rFonts w:cs="Times New Roman"/>
      <w:b/>
      <w:bCs/>
      <w:lang w:val="en-US" w:eastAsia="en-US"/>
    </w:r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2813D6"/>
    <w:rPr>
      <w:rFonts w:cs="Times New Roma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32DCD"/>
    <w:rPr>
      <w:rFonts w:ascii="Calibri" w:hAnsi="Calibri"/>
      <w:color w:val="000000"/>
      <w:u w:color="000000"/>
      <w:lang w:val="en-US"/>
    </w:rPr>
  </w:style>
  <w:style w:type="numbering" w:customStyle="1" w:styleId="List16">
    <w:name w:val="List 16"/>
    <w:rsid w:val="003F4C67"/>
    <w:pPr>
      <w:numPr>
        <w:numId w:val="10"/>
      </w:numPr>
    </w:pPr>
  </w:style>
  <w:style w:type="numbering" w:customStyle="1" w:styleId="List36">
    <w:name w:val="List 36"/>
    <w:rsid w:val="003F4C67"/>
    <w:pPr>
      <w:numPr>
        <w:numId w:val="14"/>
      </w:numPr>
    </w:pPr>
  </w:style>
  <w:style w:type="numbering" w:customStyle="1" w:styleId="List25">
    <w:name w:val="List 25"/>
    <w:rsid w:val="003F4C67"/>
    <w:pPr>
      <w:numPr>
        <w:numId w:val="15"/>
      </w:numPr>
    </w:pPr>
  </w:style>
  <w:style w:type="numbering" w:customStyle="1" w:styleId="List1">
    <w:name w:val="List 1"/>
    <w:rsid w:val="003F4C67"/>
    <w:pPr>
      <w:numPr>
        <w:numId w:val="1"/>
      </w:numPr>
    </w:pPr>
  </w:style>
  <w:style w:type="numbering" w:customStyle="1" w:styleId="List11">
    <w:name w:val="List 11"/>
    <w:rsid w:val="003F4C67"/>
    <w:pPr>
      <w:numPr>
        <w:numId w:val="7"/>
      </w:numPr>
    </w:pPr>
  </w:style>
  <w:style w:type="numbering" w:customStyle="1" w:styleId="List15">
    <w:name w:val="List 15"/>
    <w:rsid w:val="003F4C67"/>
    <w:pPr>
      <w:numPr>
        <w:numId w:val="16"/>
      </w:numPr>
    </w:pPr>
  </w:style>
  <w:style w:type="numbering" w:customStyle="1" w:styleId="List14">
    <w:name w:val="List 14"/>
    <w:rsid w:val="003F4C67"/>
    <w:pPr>
      <w:numPr>
        <w:numId w:val="17"/>
      </w:numPr>
    </w:pPr>
  </w:style>
  <w:style w:type="numbering" w:customStyle="1" w:styleId="List23">
    <w:name w:val="List 23"/>
    <w:rsid w:val="003F4C67"/>
    <w:pPr>
      <w:numPr>
        <w:numId w:val="18"/>
      </w:numPr>
    </w:pPr>
  </w:style>
  <w:style w:type="numbering" w:customStyle="1" w:styleId="List19">
    <w:name w:val="List 19"/>
    <w:rsid w:val="003F4C67"/>
    <w:pPr>
      <w:numPr>
        <w:numId w:val="19"/>
      </w:numPr>
    </w:pPr>
  </w:style>
  <w:style w:type="numbering" w:customStyle="1" w:styleId="List45">
    <w:name w:val="List 45"/>
    <w:rsid w:val="003F4C67"/>
    <w:pPr>
      <w:numPr>
        <w:numId w:val="20"/>
      </w:numPr>
    </w:pPr>
  </w:style>
  <w:style w:type="numbering" w:customStyle="1" w:styleId="List40">
    <w:name w:val="List 40"/>
    <w:rsid w:val="003F4C67"/>
    <w:pPr>
      <w:numPr>
        <w:numId w:val="21"/>
      </w:numPr>
    </w:pPr>
  </w:style>
  <w:style w:type="numbering" w:customStyle="1" w:styleId="List9">
    <w:name w:val="List 9"/>
    <w:rsid w:val="003F4C67"/>
    <w:pPr>
      <w:numPr>
        <w:numId w:val="22"/>
      </w:numPr>
    </w:pPr>
  </w:style>
  <w:style w:type="numbering" w:customStyle="1" w:styleId="List43">
    <w:name w:val="List 43"/>
    <w:rsid w:val="003F4C67"/>
    <w:pPr>
      <w:numPr>
        <w:numId w:val="23"/>
      </w:numPr>
    </w:pPr>
  </w:style>
  <w:style w:type="numbering" w:customStyle="1" w:styleId="List46">
    <w:name w:val="List 46"/>
    <w:rsid w:val="003F4C67"/>
    <w:pPr>
      <w:numPr>
        <w:numId w:val="24"/>
      </w:numPr>
    </w:pPr>
  </w:style>
  <w:style w:type="numbering" w:customStyle="1" w:styleId="List35">
    <w:name w:val="List 35"/>
    <w:rsid w:val="003F4C67"/>
    <w:pPr>
      <w:numPr>
        <w:numId w:val="8"/>
      </w:numPr>
    </w:pPr>
  </w:style>
  <w:style w:type="numbering" w:customStyle="1" w:styleId="List17">
    <w:name w:val="List 17"/>
    <w:rsid w:val="003F4C67"/>
    <w:pPr>
      <w:numPr>
        <w:numId w:val="25"/>
      </w:numPr>
    </w:pPr>
  </w:style>
  <w:style w:type="numbering" w:customStyle="1" w:styleId="List33">
    <w:name w:val="List 33"/>
    <w:rsid w:val="003F4C67"/>
    <w:pPr>
      <w:numPr>
        <w:numId w:val="26"/>
      </w:numPr>
    </w:pPr>
  </w:style>
  <w:style w:type="numbering" w:customStyle="1" w:styleId="List7">
    <w:name w:val="List 7"/>
    <w:rsid w:val="003F4C67"/>
    <w:pPr>
      <w:numPr>
        <w:numId w:val="4"/>
      </w:numPr>
    </w:pPr>
  </w:style>
  <w:style w:type="numbering" w:customStyle="1" w:styleId="List18">
    <w:name w:val="List 18"/>
    <w:rsid w:val="003F4C67"/>
    <w:pPr>
      <w:numPr>
        <w:numId w:val="27"/>
      </w:numPr>
    </w:pPr>
  </w:style>
  <w:style w:type="numbering" w:customStyle="1" w:styleId="List22">
    <w:name w:val="List 22"/>
    <w:rsid w:val="003F4C67"/>
    <w:pPr>
      <w:numPr>
        <w:numId w:val="28"/>
      </w:numPr>
    </w:pPr>
  </w:style>
  <w:style w:type="numbering" w:customStyle="1" w:styleId="List47">
    <w:name w:val="List 47"/>
    <w:rsid w:val="003F4C67"/>
    <w:pPr>
      <w:numPr>
        <w:numId w:val="29"/>
      </w:numPr>
    </w:pPr>
  </w:style>
  <w:style w:type="numbering" w:customStyle="1" w:styleId="List28">
    <w:name w:val="List 28"/>
    <w:rsid w:val="003F4C67"/>
    <w:pPr>
      <w:numPr>
        <w:numId w:val="30"/>
      </w:numPr>
    </w:pPr>
  </w:style>
  <w:style w:type="numbering" w:customStyle="1" w:styleId="List10">
    <w:name w:val="List 10"/>
    <w:rsid w:val="003F4C67"/>
    <w:pPr>
      <w:numPr>
        <w:numId w:val="6"/>
      </w:numPr>
    </w:pPr>
  </w:style>
  <w:style w:type="numbering" w:customStyle="1" w:styleId="List0">
    <w:name w:val="List 0"/>
    <w:rsid w:val="003F4C67"/>
    <w:pPr>
      <w:numPr>
        <w:numId w:val="31"/>
      </w:numPr>
    </w:pPr>
  </w:style>
  <w:style w:type="numbering" w:customStyle="1" w:styleId="List30">
    <w:name w:val="List 30"/>
    <w:rsid w:val="003F4C67"/>
    <w:pPr>
      <w:numPr>
        <w:numId w:val="32"/>
      </w:numPr>
    </w:pPr>
  </w:style>
  <w:style w:type="numbering" w:customStyle="1" w:styleId="List29">
    <w:name w:val="List 29"/>
    <w:rsid w:val="003F4C67"/>
    <w:pPr>
      <w:numPr>
        <w:numId w:val="34"/>
      </w:numPr>
    </w:pPr>
  </w:style>
  <w:style w:type="numbering" w:customStyle="1" w:styleId="List38">
    <w:name w:val="List 38"/>
    <w:rsid w:val="003F4C67"/>
    <w:pPr>
      <w:numPr>
        <w:numId w:val="35"/>
      </w:numPr>
    </w:pPr>
  </w:style>
  <w:style w:type="numbering" w:customStyle="1" w:styleId="List12">
    <w:name w:val="List 12"/>
    <w:rsid w:val="003F4C67"/>
    <w:pPr>
      <w:numPr>
        <w:numId w:val="36"/>
      </w:numPr>
    </w:pPr>
  </w:style>
  <w:style w:type="numbering" w:customStyle="1" w:styleId="List50">
    <w:name w:val="List 50"/>
    <w:rsid w:val="003F4C67"/>
    <w:pPr>
      <w:numPr>
        <w:numId w:val="37"/>
      </w:numPr>
    </w:pPr>
  </w:style>
  <w:style w:type="numbering" w:customStyle="1" w:styleId="List34">
    <w:name w:val="List 34"/>
    <w:rsid w:val="003F4C67"/>
    <w:pPr>
      <w:numPr>
        <w:numId w:val="11"/>
      </w:numPr>
    </w:pPr>
  </w:style>
  <w:style w:type="numbering" w:customStyle="1" w:styleId="List42">
    <w:name w:val="List 42"/>
    <w:rsid w:val="003F4C67"/>
    <w:pPr>
      <w:numPr>
        <w:numId w:val="12"/>
      </w:numPr>
    </w:pPr>
  </w:style>
  <w:style w:type="numbering" w:customStyle="1" w:styleId="List49">
    <w:name w:val="List 49"/>
    <w:rsid w:val="003F4C67"/>
    <w:pPr>
      <w:numPr>
        <w:numId w:val="39"/>
      </w:numPr>
    </w:pPr>
  </w:style>
  <w:style w:type="numbering" w:customStyle="1" w:styleId="List44">
    <w:name w:val="List 44"/>
    <w:rsid w:val="003F4C67"/>
    <w:pPr>
      <w:numPr>
        <w:numId w:val="40"/>
      </w:numPr>
    </w:pPr>
  </w:style>
  <w:style w:type="numbering" w:customStyle="1" w:styleId="List21">
    <w:name w:val="List 21"/>
    <w:rsid w:val="003F4C67"/>
    <w:pPr>
      <w:numPr>
        <w:numId w:val="52"/>
      </w:numPr>
    </w:pPr>
  </w:style>
  <w:style w:type="numbering" w:customStyle="1" w:styleId="List52">
    <w:name w:val="List 52"/>
    <w:rsid w:val="003F4C67"/>
    <w:pPr>
      <w:numPr>
        <w:numId w:val="9"/>
      </w:numPr>
    </w:pPr>
  </w:style>
  <w:style w:type="numbering" w:customStyle="1" w:styleId="List24">
    <w:name w:val="List 24"/>
    <w:rsid w:val="003F4C67"/>
    <w:pPr>
      <w:numPr>
        <w:numId w:val="13"/>
      </w:numPr>
    </w:pPr>
  </w:style>
  <w:style w:type="numbering" w:customStyle="1" w:styleId="List51">
    <w:name w:val="List 51"/>
    <w:rsid w:val="003F4C67"/>
    <w:pPr>
      <w:numPr>
        <w:numId w:val="54"/>
      </w:numPr>
    </w:pPr>
  </w:style>
  <w:style w:type="numbering" w:customStyle="1" w:styleId="List27">
    <w:name w:val="List 27"/>
    <w:rsid w:val="003F4C67"/>
    <w:pPr>
      <w:numPr>
        <w:numId w:val="41"/>
      </w:numPr>
    </w:pPr>
  </w:style>
  <w:style w:type="numbering" w:customStyle="1" w:styleId="List8">
    <w:name w:val="List 8"/>
    <w:rsid w:val="003F4C67"/>
    <w:pPr>
      <w:numPr>
        <w:numId w:val="5"/>
      </w:numPr>
    </w:pPr>
  </w:style>
  <w:style w:type="numbering" w:customStyle="1" w:styleId="List13">
    <w:name w:val="List 13"/>
    <w:rsid w:val="003F4C67"/>
    <w:pPr>
      <w:numPr>
        <w:numId w:val="42"/>
      </w:numPr>
    </w:pPr>
  </w:style>
  <w:style w:type="numbering" w:customStyle="1" w:styleId="List20">
    <w:name w:val="List 20"/>
    <w:rsid w:val="003F4C67"/>
    <w:pPr>
      <w:numPr>
        <w:numId w:val="43"/>
      </w:numPr>
    </w:pPr>
  </w:style>
  <w:style w:type="numbering" w:customStyle="1" w:styleId="List41">
    <w:name w:val="List 41"/>
    <w:rsid w:val="003F4C67"/>
    <w:pPr>
      <w:numPr>
        <w:numId w:val="44"/>
      </w:numPr>
    </w:pPr>
  </w:style>
  <w:style w:type="numbering" w:customStyle="1" w:styleId="List31">
    <w:name w:val="List 31"/>
    <w:rsid w:val="003F4C67"/>
    <w:pPr>
      <w:numPr>
        <w:numId w:val="45"/>
      </w:numPr>
    </w:pPr>
  </w:style>
  <w:style w:type="numbering" w:customStyle="1" w:styleId="List6">
    <w:name w:val="List 6"/>
    <w:rsid w:val="003F4C67"/>
    <w:pPr>
      <w:numPr>
        <w:numId w:val="3"/>
      </w:numPr>
    </w:pPr>
  </w:style>
  <w:style w:type="numbering" w:customStyle="1" w:styleId="List39">
    <w:name w:val="List 39"/>
    <w:rsid w:val="003F4C67"/>
    <w:pPr>
      <w:numPr>
        <w:numId w:val="46"/>
      </w:numPr>
    </w:pPr>
  </w:style>
  <w:style w:type="numbering" w:customStyle="1" w:styleId="List37">
    <w:name w:val="List 37"/>
    <w:rsid w:val="003F4C67"/>
    <w:pPr>
      <w:numPr>
        <w:numId w:val="47"/>
      </w:numPr>
    </w:pPr>
  </w:style>
  <w:style w:type="numbering" w:customStyle="1" w:styleId="List32">
    <w:name w:val="List 32"/>
    <w:rsid w:val="003F4C67"/>
    <w:pPr>
      <w:numPr>
        <w:numId w:val="48"/>
      </w:numPr>
    </w:pPr>
  </w:style>
  <w:style w:type="numbering" w:customStyle="1" w:styleId="List26">
    <w:name w:val="List 26"/>
    <w:rsid w:val="003F4C67"/>
    <w:pPr>
      <w:numPr>
        <w:numId w:val="49"/>
      </w:numPr>
    </w:pPr>
  </w:style>
  <w:style w:type="numbering" w:customStyle="1" w:styleId="List48">
    <w:name w:val="List 48"/>
    <w:rsid w:val="003F4C67"/>
    <w:pPr>
      <w:numPr>
        <w:numId w:val="50"/>
      </w:numPr>
    </w:pPr>
  </w:style>
  <w:style w:type="paragraph" w:styleId="Revision">
    <w:name w:val="Revision"/>
    <w:hidden/>
    <w:uiPriority w:val="99"/>
    <w:semiHidden/>
    <w:rsid w:val="0036390A"/>
    <w:rPr>
      <w:sz w:val="24"/>
      <w:szCs w:val="24"/>
      <w:lang w:eastAsia="en-US"/>
    </w:rPr>
  </w:style>
  <w:style w:type="character" w:customStyle="1" w:styleId="Heading4Char">
    <w:name w:val="Heading 4 Char"/>
    <w:basedOn w:val="DefaultParagraphFont"/>
    <w:link w:val="Heading4"/>
    <w:uiPriority w:val="9"/>
    <w:semiHidden/>
    <w:rsid w:val="006D0E0A"/>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6D0E0A"/>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D0E0A"/>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D0E0A"/>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D0E0A"/>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D0E0A"/>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locked/>
    <w:rsid w:val="006D0E0A"/>
    <w:pPr>
      <w:spacing w:line="240" w:lineRule="auto"/>
    </w:pPr>
    <w:rPr>
      <w:b/>
      <w:bCs/>
      <w:smallCaps/>
      <w:color w:val="1F497D" w:themeColor="text2"/>
    </w:rPr>
  </w:style>
  <w:style w:type="paragraph" w:styleId="Title">
    <w:name w:val="Title"/>
    <w:basedOn w:val="Normal"/>
    <w:next w:val="Normal"/>
    <w:link w:val="TitleChar"/>
    <w:uiPriority w:val="10"/>
    <w:qFormat/>
    <w:locked/>
    <w:rsid w:val="006D0E0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6D0E0A"/>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locked/>
    <w:rsid w:val="006D0E0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D0E0A"/>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locked/>
    <w:rsid w:val="006D0E0A"/>
    <w:rPr>
      <w:b/>
      <w:bCs/>
    </w:rPr>
  </w:style>
  <w:style w:type="character" w:styleId="Emphasis">
    <w:name w:val="Emphasis"/>
    <w:basedOn w:val="DefaultParagraphFont"/>
    <w:uiPriority w:val="20"/>
    <w:qFormat/>
    <w:locked/>
    <w:rsid w:val="006D0E0A"/>
    <w:rPr>
      <w:i/>
      <w:iCs/>
    </w:rPr>
  </w:style>
  <w:style w:type="paragraph" w:styleId="NoSpacing">
    <w:name w:val="No Spacing"/>
    <w:uiPriority w:val="1"/>
    <w:qFormat/>
    <w:rsid w:val="006D0E0A"/>
    <w:pPr>
      <w:spacing w:after="0" w:line="240" w:lineRule="auto"/>
    </w:pPr>
  </w:style>
  <w:style w:type="paragraph" w:styleId="Quote">
    <w:name w:val="Quote"/>
    <w:basedOn w:val="Normal"/>
    <w:next w:val="Normal"/>
    <w:link w:val="QuoteChar"/>
    <w:uiPriority w:val="29"/>
    <w:qFormat/>
    <w:rsid w:val="006D0E0A"/>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D0E0A"/>
    <w:rPr>
      <w:color w:val="1F497D" w:themeColor="text2"/>
      <w:sz w:val="24"/>
      <w:szCs w:val="24"/>
    </w:rPr>
  </w:style>
  <w:style w:type="paragraph" w:styleId="IntenseQuote">
    <w:name w:val="Intense Quote"/>
    <w:basedOn w:val="Normal"/>
    <w:next w:val="Normal"/>
    <w:link w:val="IntenseQuoteChar"/>
    <w:uiPriority w:val="30"/>
    <w:qFormat/>
    <w:rsid w:val="006D0E0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D0E0A"/>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6D0E0A"/>
    <w:rPr>
      <w:i/>
      <w:iCs/>
      <w:color w:val="595959" w:themeColor="text1" w:themeTint="A6"/>
    </w:rPr>
  </w:style>
  <w:style w:type="character" w:styleId="IntenseEmphasis">
    <w:name w:val="Intense Emphasis"/>
    <w:basedOn w:val="DefaultParagraphFont"/>
    <w:uiPriority w:val="21"/>
    <w:qFormat/>
    <w:rsid w:val="006D0E0A"/>
    <w:rPr>
      <w:b/>
      <w:bCs/>
      <w:i/>
      <w:iCs/>
    </w:rPr>
  </w:style>
  <w:style w:type="character" w:styleId="SubtleReference">
    <w:name w:val="Subtle Reference"/>
    <w:basedOn w:val="DefaultParagraphFont"/>
    <w:uiPriority w:val="31"/>
    <w:qFormat/>
    <w:rsid w:val="006D0E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D0E0A"/>
    <w:rPr>
      <w:b/>
      <w:bCs/>
      <w:smallCaps/>
      <w:color w:val="1F497D" w:themeColor="text2"/>
      <w:u w:val="single"/>
    </w:rPr>
  </w:style>
  <w:style w:type="character" w:styleId="BookTitle">
    <w:name w:val="Book Title"/>
    <w:basedOn w:val="DefaultParagraphFont"/>
    <w:uiPriority w:val="33"/>
    <w:qFormat/>
    <w:rsid w:val="006D0E0A"/>
    <w:rPr>
      <w:b/>
      <w:bCs/>
      <w:smallCaps/>
      <w:spacing w:val="10"/>
    </w:rPr>
  </w:style>
  <w:style w:type="paragraph" w:styleId="TOCHeading">
    <w:name w:val="TOC Heading"/>
    <w:basedOn w:val="Heading1"/>
    <w:next w:val="Normal"/>
    <w:uiPriority w:val="39"/>
    <w:semiHidden/>
    <w:unhideWhenUsed/>
    <w:qFormat/>
    <w:rsid w:val="006D0E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892">
      <w:bodyDiv w:val="1"/>
      <w:marLeft w:val="0"/>
      <w:marRight w:val="0"/>
      <w:marTop w:val="0"/>
      <w:marBottom w:val="0"/>
      <w:divBdr>
        <w:top w:val="none" w:sz="0" w:space="0" w:color="auto"/>
        <w:left w:val="none" w:sz="0" w:space="0" w:color="auto"/>
        <w:bottom w:val="none" w:sz="0" w:space="0" w:color="auto"/>
        <w:right w:val="none" w:sz="0" w:space="0" w:color="auto"/>
      </w:divBdr>
      <w:divsChild>
        <w:div w:id="406196275">
          <w:marLeft w:val="0"/>
          <w:marRight w:val="0"/>
          <w:marTop w:val="0"/>
          <w:marBottom w:val="0"/>
          <w:divBdr>
            <w:top w:val="none" w:sz="0" w:space="0" w:color="auto"/>
            <w:left w:val="none" w:sz="0" w:space="0" w:color="auto"/>
            <w:bottom w:val="none" w:sz="0" w:space="0" w:color="auto"/>
            <w:right w:val="none" w:sz="0" w:space="0" w:color="auto"/>
          </w:divBdr>
        </w:div>
        <w:div w:id="1914512284">
          <w:marLeft w:val="0"/>
          <w:marRight w:val="0"/>
          <w:marTop w:val="0"/>
          <w:marBottom w:val="0"/>
          <w:divBdr>
            <w:top w:val="none" w:sz="0" w:space="0" w:color="auto"/>
            <w:left w:val="none" w:sz="0" w:space="0" w:color="auto"/>
            <w:bottom w:val="none" w:sz="0" w:space="0" w:color="auto"/>
            <w:right w:val="none" w:sz="0" w:space="0" w:color="auto"/>
          </w:divBdr>
        </w:div>
        <w:div w:id="542140425">
          <w:marLeft w:val="0"/>
          <w:marRight w:val="0"/>
          <w:marTop w:val="0"/>
          <w:marBottom w:val="0"/>
          <w:divBdr>
            <w:top w:val="none" w:sz="0" w:space="0" w:color="auto"/>
            <w:left w:val="none" w:sz="0" w:space="0" w:color="auto"/>
            <w:bottom w:val="none" w:sz="0" w:space="0" w:color="auto"/>
            <w:right w:val="none" w:sz="0" w:space="0" w:color="auto"/>
          </w:divBdr>
        </w:div>
        <w:div w:id="1380517146">
          <w:marLeft w:val="0"/>
          <w:marRight w:val="0"/>
          <w:marTop w:val="0"/>
          <w:marBottom w:val="0"/>
          <w:divBdr>
            <w:top w:val="none" w:sz="0" w:space="0" w:color="auto"/>
            <w:left w:val="none" w:sz="0" w:space="0" w:color="auto"/>
            <w:bottom w:val="none" w:sz="0" w:space="0" w:color="auto"/>
            <w:right w:val="none" w:sz="0" w:space="0" w:color="auto"/>
          </w:divBdr>
        </w:div>
        <w:div w:id="1015107561">
          <w:marLeft w:val="0"/>
          <w:marRight w:val="0"/>
          <w:marTop w:val="0"/>
          <w:marBottom w:val="0"/>
          <w:divBdr>
            <w:top w:val="none" w:sz="0" w:space="0" w:color="auto"/>
            <w:left w:val="none" w:sz="0" w:space="0" w:color="auto"/>
            <w:bottom w:val="none" w:sz="0" w:space="0" w:color="auto"/>
            <w:right w:val="none" w:sz="0" w:space="0" w:color="auto"/>
          </w:divBdr>
        </w:div>
        <w:div w:id="1087583058">
          <w:marLeft w:val="0"/>
          <w:marRight w:val="0"/>
          <w:marTop w:val="0"/>
          <w:marBottom w:val="0"/>
          <w:divBdr>
            <w:top w:val="none" w:sz="0" w:space="0" w:color="auto"/>
            <w:left w:val="none" w:sz="0" w:space="0" w:color="auto"/>
            <w:bottom w:val="none" w:sz="0" w:space="0" w:color="auto"/>
            <w:right w:val="none" w:sz="0" w:space="0" w:color="auto"/>
          </w:divBdr>
        </w:div>
        <w:div w:id="1792673196">
          <w:marLeft w:val="0"/>
          <w:marRight w:val="0"/>
          <w:marTop w:val="0"/>
          <w:marBottom w:val="0"/>
          <w:divBdr>
            <w:top w:val="none" w:sz="0" w:space="0" w:color="auto"/>
            <w:left w:val="none" w:sz="0" w:space="0" w:color="auto"/>
            <w:bottom w:val="none" w:sz="0" w:space="0" w:color="auto"/>
            <w:right w:val="none" w:sz="0" w:space="0" w:color="auto"/>
          </w:divBdr>
        </w:div>
        <w:div w:id="864631250">
          <w:marLeft w:val="0"/>
          <w:marRight w:val="0"/>
          <w:marTop w:val="0"/>
          <w:marBottom w:val="0"/>
          <w:divBdr>
            <w:top w:val="none" w:sz="0" w:space="0" w:color="auto"/>
            <w:left w:val="none" w:sz="0" w:space="0" w:color="auto"/>
            <w:bottom w:val="none" w:sz="0" w:space="0" w:color="auto"/>
            <w:right w:val="none" w:sz="0" w:space="0" w:color="auto"/>
          </w:divBdr>
        </w:div>
        <w:div w:id="1238176226">
          <w:marLeft w:val="0"/>
          <w:marRight w:val="0"/>
          <w:marTop w:val="0"/>
          <w:marBottom w:val="0"/>
          <w:divBdr>
            <w:top w:val="none" w:sz="0" w:space="0" w:color="auto"/>
            <w:left w:val="none" w:sz="0" w:space="0" w:color="auto"/>
            <w:bottom w:val="none" w:sz="0" w:space="0" w:color="auto"/>
            <w:right w:val="none" w:sz="0" w:space="0" w:color="auto"/>
          </w:divBdr>
        </w:div>
        <w:div w:id="163863555">
          <w:marLeft w:val="0"/>
          <w:marRight w:val="0"/>
          <w:marTop w:val="0"/>
          <w:marBottom w:val="0"/>
          <w:divBdr>
            <w:top w:val="none" w:sz="0" w:space="0" w:color="auto"/>
            <w:left w:val="none" w:sz="0" w:space="0" w:color="auto"/>
            <w:bottom w:val="none" w:sz="0" w:space="0" w:color="auto"/>
            <w:right w:val="none" w:sz="0" w:space="0" w:color="auto"/>
          </w:divBdr>
        </w:div>
        <w:div w:id="305166383">
          <w:marLeft w:val="0"/>
          <w:marRight w:val="0"/>
          <w:marTop w:val="0"/>
          <w:marBottom w:val="0"/>
          <w:divBdr>
            <w:top w:val="none" w:sz="0" w:space="0" w:color="auto"/>
            <w:left w:val="none" w:sz="0" w:space="0" w:color="auto"/>
            <w:bottom w:val="none" w:sz="0" w:space="0" w:color="auto"/>
            <w:right w:val="none" w:sz="0" w:space="0" w:color="auto"/>
          </w:divBdr>
        </w:div>
        <w:div w:id="1119298041">
          <w:marLeft w:val="0"/>
          <w:marRight w:val="0"/>
          <w:marTop w:val="0"/>
          <w:marBottom w:val="0"/>
          <w:divBdr>
            <w:top w:val="none" w:sz="0" w:space="0" w:color="auto"/>
            <w:left w:val="none" w:sz="0" w:space="0" w:color="auto"/>
            <w:bottom w:val="none" w:sz="0" w:space="0" w:color="auto"/>
            <w:right w:val="none" w:sz="0" w:space="0" w:color="auto"/>
          </w:divBdr>
        </w:div>
        <w:div w:id="1823502801">
          <w:marLeft w:val="0"/>
          <w:marRight w:val="0"/>
          <w:marTop w:val="0"/>
          <w:marBottom w:val="0"/>
          <w:divBdr>
            <w:top w:val="none" w:sz="0" w:space="0" w:color="auto"/>
            <w:left w:val="none" w:sz="0" w:space="0" w:color="auto"/>
            <w:bottom w:val="none" w:sz="0" w:space="0" w:color="auto"/>
            <w:right w:val="none" w:sz="0" w:space="0" w:color="auto"/>
          </w:divBdr>
        </w:div>
        <w:div w:id="76639268">
          <w:marLeft w:val="0"/>
          <w:marRight w:val="0"/>
          <w:marTop w:val="0"/>
          <w:marBottom w:val="0"/>
          <w:divBdr>
            <w:top w:val="none" w:sz="0" w:space="0" w:color="auto"/>
            <w:left w:val="none" w:sz="0" w:space="0" w:color="auto"/>
            <w:bottom w:val="none" w:sz="0" w:space="0" w:color="auto"/>
            <w:right w:val="none" w:sz="0" w:space="0" w:color="auto"/>
          </w:divBdr>
        </w:div>
        <w:div w:id="1421633439">
          <w:marLeft w:val="0"/>
          <w:marRight w:val="0"/>
          <w:marTop w:val="0"/>
          <w:marBottom w:val="0"/>
          <w:divBdr>
            <w:top w:val="none" w:sz="0" w:space="0" w:color="auto"/>
            <w:left w:val="none" w:sz="0" w:space="0" w:color="auto"/>
            <w:bottom w:val="none" w:sz="0" w:space="0" w:color="auto"/>
            <w:right w:val="none" w:sz="0" w:space="0" w:color="auto"/>
          </w:divBdr>
        </w:div>
        <w:div w:id="1616986177">
          <w:marLeft w:val="0"/>
          <w:marRight w:val="0"/>
          <w:marTop w:val="0"/>
          <w:marBottom w:val="0"/>
          <w:divBdr>
            <w:top w:val="none" w:sz="0" w:space="0" w:color="auto"/>
            <w:left w:val="none" w:sz="0" w:space="0" w:color="auto"/>
            <w:bottom w:val="none" w:sz="0" w:space="0" w:color="auto"/>
            <w:right w:val="none" w:sz="0" w:space="0" w:color="auto"/>
          </w:divBdr>
        </w:div>
        <w:div w:id="505092818">
          <w:marLeft w:val="0"/>
          <w:marRight w:val="0"/>
          <w:marTop w:val="0"/>
          <w:marBottom w:val="0"/>
          <w:divBdr>
            <w:top w:val="none" w:sz="0" w:space="0" w:color="auto"/>
            <w:left w:val="none" w:sz="0" w:space="0" w:color="auto"/>
            <w:bottom w:val="none" w:sz="0" w:space="0" w:color="auto"/>
            <w:right w:val="none" w:sz="0" w:space="0" w:color="auto"/>
          </w:divBdr>
        </w:div>
        <w:div w:id="120654391">
          <w:marLeft w:val="0"/>
          <w:marRight w:val="0"/>
          <w:marTop w:val="0"/>
          <w:marBottom w:val="0"/>
          <w:divBdr>
            <w:top w:val="none" w:sz="0" w:space="0" w:color="auto"/>
            <w:left w:val="none" w:sz="0" w:space="0" w:color="auto"/>
            <w:bottom w:val="none" w:sz="0" w:space="0" w:color="auto"/>
            <w:right w:val="none" w:sz="0" w:space="0" w:color="auto"/>
          </w:divBdr>
        </w:div>
        <w:div w:id="2102598136">
          <w:marLeft w:val="0"/>
          <w:marRight w:val="0"/>
          <w:marTop w:val="0"/>
          <w:marBottom w:val="0"/>
          <w:divBdr>
            <w:top w:val="none" w:sz="0" w:space="0" w:color="auto"/>
            <w:left w:val="none" w:sz="0" w:space="0" w:color="auto"/>
            <w:bottom w:val="none" w:sz="0" w:space="0" w:color="auto"/>
            <w:right w:val="none" w:sz="0" w:space="0" w:color="auto"/>
          </w:divBdr>
        </w:div>
        <w:div w:id="1273902983">
          <w:marLeft w:val="0"/>
          <w:marRight w:val="0"/>
          <w:marTop w:val="0"/>
          <w:marBottom w:val="0"/>
          <w:divBdr>
            <w:top w:val="none" w:sz="0" w:space="0" w:color="auto"/>
            <w:left w:val="none" w:sz="0" w:space="0" w:color="auto"/>
            <w:bottom w:val="none" w:sz="0" w:space="0" w:color="auto"/>
            <w:right w:val="none" w:sz="0" w:space="0" w:color="auto"/>
          </w:divBdr>
        </w:div>
        <w:div w:id="1176842383">
          <w:marLeft w:val="0"/>
          <w:marRight w:val="0"/>
          <w:marTop w:val="0"/>
          <w:marBottom w:val="0"/>
          <w:divBdr>
            <w:top w:val="none" w:sz="0" w:space="0" w:color="auto"/>
            <w:left w:val="none" w:sz="0" w:space="0" w:color="auto"/>
            <w:bottom w:val="none" w:sz="0" w:space="0" w:color="auto"/>
            <w:right w:val="none" w:sz="0" w:space="0" w:color="auto"/>
          </w:divBdr>
        </w:div>
        <w:div w:id="1750074631">
          <w:marLeft w:val="0"/>
          <w:marRight w:val="0"/>
          <w:marTop w:val="0"/>
          <w:marBottom w:val="0"/>
          <w:divBdr>
            <w:top w:val="none" w:sz="0" w:space="0" w:color="auto"/>
            <w:left w:val="none" w:sz="0" w:space="0" w:color="auto"/>
            <w:bottom w:val="none" w:sz="0" w:space="0" w:color="auto"/>
            <w:right w:val="none" w:sz="0" w:space="0" w:color="auto"/>
          </w:divBdr>
        </w:div>
        <w:div w:id="1639652293">
          <w:marLeft w:val="0"/>
          <w:marRight w:val="0"/>
          <w:marTop w:val="0"/>
          <w:marBottom w:val="0"/>
          <w:divBdr>
            <w:top w:val="none" w:sz="0" w:space="0" w:color="auto"/>
            <w:left w:val="none" w:sz="0" w:space="0" w:color="auto"/>
            <w:bottom w:val="none" w:sz="0" w:space="0" w:color="auto"/>
            <w:right w:val="none" w:sz="0" w:space="0" w:color="auto"/>
          </w:divBdr>
        </w:div>
        <w:div w:id="1765567526">
          <w:marLeft w:val="0"/>
          <w:marRight w:val="0"/>
          <w:marTop w:val="0"/>
          <w:marBottom w:val="0"/>
          <w:divBdr>
            <w:top w:val="none" w:sz="0" w:space="0" w:color="auto"/>
            <w:left w:val="none" w:sz="0" w:space="0" w:color="auto"/>
            <w:bottom w:val="none" w:sz="0" w:space="0" w:color="auto"/>
            <w:right w:val="none" w:sz="0" w:space="0" w:color="auto"/>
          </w:divBdr>
        </w:div>
        <w:div w:id="345525283">
          <w:marLeft w:val="0"/>
          <w:marRight w:val="0"/>
          <w:marTop w:val="0"/>
          <w:marBottom w:val="0"/>
          <w:divBdr>
            <w:top w:val="none" w:sz="0" w:space="0" w:color="auto"/>
            <w:left w:val="none" w:sz="0" w:space="0" w:color="auto"/>
            <w:bottom w:val="none" w:sz="0" w:space="0" w:color="auto"/>
            <w:right w:val="none" w:sz="0" w:space="0" w:color="auto"/>
          </w:divBdr>
        </w:div>
      </w:divsChild>
    </w:div>
    <w:div w:id="611939652">
      <w:bodyDiv w:val="1"/>
      <w:marLeft w:val="0"/>
      <w:marRight w:val="0"/>
      <w:marTop w:val="0"/>
      <w:marBottom w:val="0"/>
      <w:divBdr>
        <w:top w:val="none" w:sz="0" w:space="0" w:color="auto"/>
        <w:left w:val="none" w:sz="0" w:space="0" w:color="auto"/>
        <w:bottom w:val="none" w:sz="0" w:space="0" w:color="auto"/>
        <w:right w:val="none" w:sz="0" w:space="0" w:color="auto"/>
      </w:divBdr>
    </w:div>
    <w:div w:id="1119958695">
      <w:bodyDiv w:val="1"/>
      <w:marLeft w:val="0"/>
      <w:marRight w:val="0"/>
      <w:marTop w:val="0"/>
      <w:marBottom w:val="0"/>
      <w:divBdr>
        <w:top w:val="none" w:sz="0" w:space="0" w:color="auto"/>
        <w:left w:val="none" w:sz="0" w:space="0" w:color="auto"/>
        <w:bottom w:val="none" w:sz="0" w:space="0" w:color="auto"/>
        <w:right w:val="none" w:sz="0" w:space="0" w:color="auto"/>
      </w:divBdr>
    </w:div>
    <w:div w:id="1398043163">
      <w:marLeft w:val="0"/>
      <w:marRight w:val="0"/>
      <w:marTop w:val="0"/>
      <w:marBottom w:val="0"/>
      <w:divBdr>
        <w:top w:val="none" w:sz="0" w:space="0" w:color="auto"/>
        <w:left w:val="none" w:sz="0" w:space="0" w:color="auto"/>
        <w:bottom w:val="none" w:sz="0" w:space="0" w:color="auto"/>
        <w:right w:val="none" w:sz="0" w:space="0" w:color="auto"/>
      </w:divBdr>
    </w:div>
    <w:div w:id="1398043164">
      <w:marLeft w:val="0"/>
      <w:marRight w:val="0"/>
      <w:marTop w:val="0"/>
      <w:marBottom w:val="0"/>
      <w:divBdr>
        <w:top w:val="none" w:sz="0" w:space="0" w:color="auto"/>
        <w:left w:val="none" w:sz="0" w:space="0" w:color="auto"/>
        <w:bottom w:val="none" w:sz="0" w:space="0" w:color="auto"/>
        <w:right w:val="none" w:sz="0" w:space="0" w:color="auto"/>
      </w:divBdr>
    </w:div>
    <w:div w:id="1749421320">
      <w:bodyDiv w:val="1"/>
      <w:marLeft w:val="0"/>
      <w:marRight w:val="0"/>
      <w:marTop w:val="0"/>
      <w:marBottom w:val="0"/>
      <w:divBdr>
        <w:top w:val="none" w:sz="0" w:space="0" w:color="auto"/>
        <w:left w:val="none" w:sz="0" w:space="0" w:color="auto"/>
        <w:bottom w:val="none" w:sz="0" w:space="0" w:color="auto"/>
        <w:right w:val="none" w:sz="0" w:space="0" w:color="auto"/>
      </w:divBdr>
    </w:div>
    <w:div w:id="19999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9B34-E835-4A4E-87D2-ADBC213C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2022-09-29T14:19:00Z</dcterms:created>
  <dcterms:modified xsi:type="dcterms:W3CDTF">2022-09-29T14:19:00Z</dcterms:modified>
</cp:coreProperties>
</file>